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5"/>
        <w:gridCol w:w="5285"/>
      </w:tblGrid>
      <w:tr w:rsidR="000F54C5" w14:paraId="7B4D4751" w14:textId="77777777">
        <w:trPr>
          <w:cantSplit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689571" w14:textId="77777777" w:rsidR="000F54C5" w:rsidRDefault="00AF5899">
            <w:pPr>
              <w:spacing w:after="0" w:line="240" w:lineRule="auto"/>
            </w:pPr>
            <w:r>
              <w:rPr>
                <w:b/>
                <w:color w:val="FFFFFF"/>
                <w:sz w:val="36"/>
              </w:rPr>
              <w:t>YEAR 11 PSHE CURRICULUM OVERVIEW</w:t>
            </w:r>
          </w:p>
        </w:tc>
        <w:tc>
          <w:tcPr>
            <w:tcW w:w="5285" w:type="dxa"/>
            <w:shd w:val="clear" w:color="auto" w:fill="F4C54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39E684" w14:textId="77777777" w:rsidR="000F54C5" w:rsidRDefault="00AF5899">
            <w:pPr>
              <w:spacing w:after="0" w:line="240" w:lineRule="auto"/>
              <w:jc w:val="center"/>
            </w:pPr>
            <w:r>
              <w:rPr>
                <w:b/>
                <w:color w:val="123B69"/>
                <w:sz w:val="20"/>
              </w:rPr>
              <w:t>AUT</w:t>
            </w:r>
          </w:p>
        </w:tc>
      </w:tr>
    </w:tbl>
    <w:p w14:paraId="5EB5E7CF" w14:textId="77777777" w:rsidR="000F54C5" w:rsidRPr="00EE4E53" w:rsidRDefault="00AF5899">
      <w:pPr>
        <w:pStyle w:val="Subtitle"/>
        <w:rPr>
          <w:rFonts w:cstheme="majorHAnsi"/>
        </w:rPr>
      </w:pPr>
      <w:r w:rsidRPr="00EE4E53">
        <w:rPr>
          <w:rFonts w:cstheme="majorHAnsi"/>
        </w:rPr>
        <w:t>AUTUMN TERM: LIVING IN THE WIDER WORLD</w:t>
      </w:r>
    </w:p>
    <w:p w14:paraId="038AD3EF" w14:textId="77777777" w:rsidR="000F54C5" w:rsidRPr="00EE4E53" w:rsidRDefault="00AF5899">
      <w:pPr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b/>
          <w:sz w:val="24"/>
          <w:szCs w:val="24"/>
        </w:rPr>
        <w:t xml:space="preserve">Curriculum purpose: </w:t>
      </w:r>
      <w:r w:rsidRPr="00EE4E53">
        <w:rPr>
          <w:rFonts w:asciiTheme="majorHAnsi" w:hAnsiTheme="majorHAnsi" w:cstheme="majorHAnsi"/>
          <w:sz w:val="24"/>
          <w:szCs w:val="24"/>
        </w:rPr>
        <w:t>To equip pupils with the knowledge, confidence and practical tools needed to present their employability skills, make informed post-16 choices, complete applications and manage the pressures associated with examinations and transition.</w:t>
      </w:r>
    </w:p>
    <w:p w14:paraId="7FF1223B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1. CURRICULUM INTENT</w:t>
      </w:r>
    </w:p>
    <w:p w14:paraId="60BB2A4B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Help pupils identify employability skills and communicate evidence through a CV using the CAR method.</w:t>
      </w:r>
    </w:p>
    <w:p w14:paraId="075258A4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Develop accurate understanding of education, training and employment routes after Year 11.</w:t>
      </w:r>
    </w:p>
    <w:p w14:paraId="7D1F3370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Teach a structured process for decisions using impartial information, research, reflection, alternatives and advice.</w:t>
      </w:r>
    </w:p>
    <w:p w14:paraId="310541CE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Support pupils to compare courses and providers in relation to interests, learning preferences, entry requirements and longer-term goals.</w:t>
      </w:r>
    </w:p>
    <w:p w14:paraId="31BA47E4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Build practical application skills, including predicted grades, accurate personal information, monitored email and application tracking.</w:t>
      </w:r>
    </w:p>
    <w:p w14:paraId="5264B751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Strengthen recognition of exam stress and pupils’ ability to use coping strategies or seek support.</w:t>
      </w:r>
    </w:p>
    <w:p w14:paraId="7CD96ED2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2. AUTUMN TERM CURRICULUM SEQUENCE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22"/>
        <w:gridCol w:w="1772"/>
        <w:gridCol w:w="3328"/>
        <w:gridCol w:w="3184"/>
        <w:gridCol w:w="1954"/>
      </w:tblGrid>
      <w:tr w:rsidR="000F54C5" w:rsidRPr="00EE4E53" w14:paraId="25E4736D" w14:textId="77777777" w:rsidTr="00EE4E53">
        <w:trPr>
          <w:cantSplit/>
          <w:tblHeader/>
          <w:jc w:val="center"/>
        </w:trPr>
        <w:tc>
          <w:tcPr>
            <w:tcW w:w="135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C7D6AAC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#</w:t>
            </w:r>
          </w:p>
        </w:tc>
        <w:tc>
          <w:tcPr>
            <w:tcW w:w="772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72100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Lesson focus</w:t>
            </w:r>
          </w:p>
        </w:tc>
        <w:tc>
          <w:tcPr>
            <w:tcW w:w="1604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CDE3B6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Core knowledge and understanding</w:t>
            </w:r>
          </w:p>
        </w:tc>
        <w:tc>
          <w:tcPr>
            <w:tcW w:w="153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98D9B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Learning experiences</w:t>
            </w:r>
          </w:p>
        </w:tc>
        <w:tc>
          <w:tcPr>
            <w:tcW w:w="954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E54DC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Evidence / assessment</w:t>
            </w:r>
          </w:p>
        </w:tc>
      </w:tr>
      <w:tr w:rsidR="000F54C5" w:rsidRPr="00EE4E53" w14:paraId="3D5F5262" w14:textId="77777777" w:rsidTr="00EE4E53">
        <w:trPr>
          <w:cantSplit/>
          <w:jc w:val="center"/>
        </w:trPr>
        <w:tc>
          <w:tcPr>
            <w:tcW w:w="135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2CEAAC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77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33ACA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Employability skills and CVs</w:t>
            </w:r>
          </w:p>
        </w:tc>
        <w:tc>
          <w:tcPr>
            <w:tcW w:w="160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73C9F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Experiences</w:t>
            </w:r>
            <w:proofErr w:type="gramEnd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, learning and achievements provide evidence of skills. The CAR method explains the Context, Action and Result of an example clearly.</w:t>
            </w:r>
          </w:p>
        </w:tc>
        <w:tc>
          <w:tcPr>
            <w:tcW w:w="153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185BF4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 xml:space="preserve">Review strengths and achievements; discuss </w:t>
            </w:r>
            <w:proofErr w:type="gramStart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challenge</w:t>
            </w:r>
            <w:proofErr w:type="gramEnd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, feedback and online presence; use Unifrog’s CV tool to add a skill example using CAR; consult the skills guide.</w:t>
            </w:r>
          </w:p>
        </w:tc>
        <w:tc>
          <w:tcPr>
            <w:tcW w:w="95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8C7B35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Booklet reflection and a clear evidence-based skills statement added to the CV.</w:t>
            </w:r>
          </w:p>
        </w:tc>
      </w:tr>
      <w:tr w:rsidR="000F54C5" w:rsidRPr="00EE4E53" w14:paraId="7ADBA2B9" w14:textId="77777777" w:rsidTr="00EE4E53">
        <w:trPr>
          <w:cantSplit/>
          <w:jc w:val="center"/>
        </w:trPr>
        <w:tc>
          <w:tcPr>
            <w:tcW w:w="135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E840F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77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0FE7A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Post-16 choices</w:t>
            </w:r>
          </w:p>
        </w:tc>
        <w:tc>
          <w:tcPr>
            <w:tcW w:w="160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37529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Post-16 routes include full-time education, employment with training and apprenticeships. Academic and vocational options offer different benefits and demands.</w:t>
            </w:r>
          </w:p>
        </w:tc>
        <w:tc>
          <w:tcPr>
            <w:tcW w:w="153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68C2B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Compare the advantages and disadvantages of education, employment and apprenticeships; explore colleges and courses; begin Unifrog shortlists.</w:t>
            </w:r>
          </w:p>
        </w:tc>
        <w:tc>
          <w:tcPr>
            <w:tcW w:w="95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0318CE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Pros-and-cons comparison and an initial shortlist of suitable routes or providers.</w:t>
            </w:r>
          </w:p>
        </w:tc>
      </w:tr>
      <w:tr w:rsidR="000F54C5" w:rsidRPr="00EE4E53" w14:paraId="580301C3" w14:textId="77777777" w:rsidTr="00EE4E53">
        <w:trPr>
          <w:cantSplit/>
          <w:jc w:val="center"/>
        </w:trPr>
        <w:tc>
          <w:tcPr>
            <w:tcW w:w="135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FE9834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77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21EC9E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Making an informed decision</w:t>
            </w:r>
          </w:p>
        </w:tc>
        <w:tc>
          <w:tcPr>
            <w:tcW w:w="160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7F283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Strong decisions use impartial and accurate information, time to reflect, alternative options, a balanced comparison and advice from an appropriate person.</w:t>
            </w:r>
          </w:p>
        </w:tc>
        <w:tc>
          <w:tcPr>
            <w:tcW w:w="153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359B86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Rate confidence and optimism; analyse pathway case studies and sources of bias; reframe indecision; identify a current choice and create action points, Plan A and Plan B.</w:t>
            </w:r>
          </w:p>
        </w:tc>
        <w:tc>
          <w:tcPr>
            <w:tcW w:w="95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9C1CA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Case-study analysis, decision checklist and specific next actions recorded on Unifrog.</w:t>
            </w:r>
          </w:p>
        </w:tc>
      </w:tr>
      <w:tr w:rsidR="000F54C5" w:rsidRPr="00EE4E53" w14:paraId="0D5BBB3A" w14:textId="77777777" w:rsidTr="00EE4E53">
        <w:trPr>
          <w:cantSplit/>
          <w:jc w:val="center"/>
        </w:trPr>
        <w:tc>
          <w:tcPr>
            <w:tcW w:w="135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67754D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77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0BCE2F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College applications: preparation</w:t>
            </w:r>
          </w:p>
        </w:tc>
        <w:tc>
          <w:tcPr>
            <w:tcW w:w="160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F1B84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Applications require realistic course research, knowledge of qualification levels, predicted grades and provider entry requirements. Apprenticeship plans also need a secure alternative.</w:t>
            </w:r>
          </w:p>
        </w:tc>
        <w:tc>
          <w:tcPr>
            <w:tcW w:w="153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37D934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Review A levels, BTECs, Cambridge Nationals, NVQs, T Levels and apprenticeships; check reports and predicted grades; revisit open-evening and transport research.</w:t>
            </w:r>
          </w:p>
        </w:tc>
        <w:tc>
          <w:tcPr>
            <w:tcW w:w="95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94966E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Accurate grade record and prioritised list of courses, colleges and backup options.</w:t>
            </w:r>
          </w:p>
        </w:tc>
      </w:tr>
      <w:tr w:rsidR="000F54C5" w:rsidRPr="00EE4E53" w14:paraId="48CC149A" w14:textId="77777777" w:rsidTr="00EE4E53">
        <w:trPr>
          <w:cantSplit/>
          <w:jc w:val="center"/>
        </w:trPr>
        <w:tc>
          <w:tcPr>
            <w:tcW w:w="135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2A5B9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77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0785B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College applications: completion</w:t>
            </w:r>
          </w:p>
        </w:tc>
        <w:tc>
          <w:tcPr>
            <w:tcW w:w="160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A0C41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Application forms need accurate information, an actively monitored email address and careful tracking. Pupils may apply to several providers before making a final decision.</w:t>
            </w:r>
          </w:p>
        </w:tc>
        <w:tc>
          <w:tcPr>
            <w:tcW w:w="153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8FC30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Apply through provider websites or Unifrog links; enter subjects and predicted grades; record each application and expected response; use quizzes if still undecided.</w:t>
            </w:r>
          </w:p>
        </w:tc>
        <w:tc>
          <w:tcPr>
            <w:tcW w:w="95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39DC7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Submitted applications or documented progress, with an up-to-date application tracker.</w:t>
            </w:r>
          </w:p>
        </w:tc>
      </w:tr>
      <w:tr w:rsidR="000F54C5" w:rsidRPr="00EE4E53" w14:paraId="73874788" w14:textId="77777777" w:rsidTr="00EE4E53">
        <w:trPr>
          <w:cantSplit/>
          <w:jc w:val="center"/>
        </w:trPr>
        <w:tc>
          <w:tcPr>
            <w:tcW w:w="135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3F417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77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BE82A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Managing exam stress</w:t>
            </w:r>
          </w:p>
        </w:tc>
        <w:tc>
          <w:tcPr>
            <w:tcW w:w="160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A77BD6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Stress can produce physical, emotional, cognitive and behavioural signs. Early recognition, balanced revision and support reduce the risk of stress becoming unmanageable.</w:t>
            </w:r>
          </w:p>
        </w:tc>
        <w:tc>
          <w:tcPr>
            <w:tcW w:w="153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46B6E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 xml:space="preserve">Complete </w:t>
            </w:r>
            <w:proofErr w:type="gramStart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 confidence</w:t>
            </w:r>
            <w:proofErr w:type="gramEnd"/>
            <w:r w:rsidRPr="00EE4E53">
              <w:rPr>
                <w:rFonts w:asciiTheme="majorHAnsi" w:hAnsiTheme="majorHAnsi" w:cstheme="majorHAnsi"/>
                <w:sz w:val="24"/>
                <w:szCs w:val="24"/>
              </w:rPr>
              <w:t xml:space="preserve"> self-assessment; identify signs and symptoms; gather strategies from approved resources; create a peer-support poster; revisit confidence.</w:t>
            </w:r>
          </w:p>
        </w:tc>
        <w:tc>
          <w:tcPr>
            <w:tcW w:w="954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E3A6E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Before-and-after self-assessment, practical coping plan and exam-support resource.</w:t>
            </w:r>
          </w:p>
        </w:tc>
      </w:tr>
      <w:tr w:rsidR="000F54C5" w:rsidRPr="00EE4E53" w14:paraId="2E6BF1C5" w14:textId="77777777" w:rsidTr="00EE4E53">
        <w:trPr>
          <w:cantSplit/>
          <w:jc w:val="center"/>
        </w:trPr>
        <w:tc>
          <w:tcPr>
            <w:tcW w:w="135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D0153C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77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CB56C4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Apprenticeships and higher education</w:t>
            </w:r>
          </w:p>
        </w:tc>
        <w:tc>
          <w:tcPr>
            <w:tcW w:w="160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CC915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University and degree apprenticeships differ in learning model, cost, salary, experience, entry requirements, competition and future opportunities. Neither route suits every pupil.</w:t>
            </w:r>
          </w:p>
        </w:tc>
        <w:tc>
          <w:tcPr>
            <w:tcW w:w="153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F0A56D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Complete the digital comparison workbook; consider personal priorities and longer-term goals; continue college applications where needed; record questions for guidance.</w:t>
            </w:r>
          </w:p>
        </w:tc>
        <w:tc>
          <w:tcPr>
            <w:tcW w:w="954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0712E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Balanced pathway comparison and a justified personal preference or research plan.</w:t>
            </w:r>
          </w:p>
        </w:tc>
      </w:tr>
    </w:tbl>
    <w:p w14:paraId="7E26D699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3. END-OF-UNIT KNOWLEDGE AND SKILLS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0F54C5" w:rsidRPr="00EE4E53" w14:paraId="2F9CCE80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03A917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know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7A946C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be able to</w:t>
            </w:r>
          </w:p>
        </w:tc>
      </w:tr>
      <w:tr w:rsidR="000F54C5" w:rsidRPr="00EE4E53" w14:paraId="6DC708D2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AAC11E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how experiences and achievements provide evidence of employability skills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ABF73B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write a specific skills example using the Context, Action, Result method</w:t>
            </w:r>
          </w:p>
        </w:tc>
      </w:tr>
      <w:tr w:rsidR="000F54C5" w:rsidRPr="00EE4E53" w14:paraId="0A3181C8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AA5C3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the main education, training, employment and apprenticeship options after Year 11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A0BAF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compare pathways and create realistic shortlists on Unifrog</w:t>
            </w:r>
          </w:p>
        </w:tc>
      </w:tr>
      <w:tr w:rsidR="000F54C5" w:rsidRPr="00EE4E53" w14:paraId="17149ABA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4C864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the features of an informed decision and the difference between impartial advice and bias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C873F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evaluate information, seek appropriate advice and create Plan A and Plan B</w:t>
            </w:r>
          </w:p>
        </w:tc>
      </w:tr>
      <w:tr w:rsidR="000F54C5" w:rsidRPr="00EE4E53" w14:paraId="78D9F309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80919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how qualification levels, course content and entry requirements affect applications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5CF96F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match interests, attainment and goals to suitable courses and providers</w:t>
            </w:r>
          </w:p>
        </w:tc>
      </w:tr>
      <w:tr w:rsidR="000F54C5" w:rsidRPr="00EE4E53" w14:paraId="06EC765D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C4D86B2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• the practical information and communication needed to complete and track applications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354032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complete application sections accurately and monitor responses responsibly</w:t>
            </w:r>
          </w:p>
        </w:tc>
      </w:tr>
      <w:tr w:rsidR="000F54C5" w:rsidRPr="00EE4E53" w14:paraId="5B87509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858A1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the common signs of exam stress and a range of evidence-informed coping strategies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0FE9C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recognise when stress needs support and apply a practical coping or revision strategy</w:t>
            </w:r>
          </w:p>
        </w:tc>
      </w:tr>
      <w:tr w:rsidR="000F54C5" w:rsidRPr="00EE4E53" w14:paraId="67D51508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2B11E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the main differences between higher education and degree-apprenticeship routes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5AF0D0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• weigh cost, experience, learning style and progression when comparing future routes</w:t>
            </w:r>
          </w:p>
        </w:tc>
      </w:tr>
    </w:tbl>
    <w:p w14:paraId="7494B9F5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4. ASSESSMENT AND EVIDENCE OF PROGRESS</w:t>
      </w:r>
    </w:p>
    <w:p w14:paraId="08AED4FB" w14:textId="77777777" w:rsidR="000F54C5" w:rsidRPr="00EE4E53" w:rsidRDefault="00AF5899">
      <w:pPr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Assessment is formative and uses booklet activities, Unifrog records, pathway comparisons, application evidence, self-assessment and pupil reflection. Progress becomes visible as pupils move from broad self-awareness to researched choices, completed actions and justified next steps.</w:t>
      </w:r>
    </w:p>
    <w:p w14:paraId="362D6718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Baseline and retrieval: employability skills, current post-16 knowledge, confidence and optimism.</w:t>
      </w:r>
    </w:p>
    <w:p w14:paraId="06D8C942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Application: CAR skill example, provider shortlists, pathway case studies and decision action points.</w:t>
      </w:r>
    </w:p>
    <w:p w14:paraId="45AD8BAB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Practical evidence: predicted-grade record, application tracker, submitted forms and monitored responses.</w:t>
      </w:r>
    </w:p>
    <w:p w14:paraId="2DD3FCC8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End point: exam-stress coping plan plus a reasoned comparison of higher education and apprenticeships.</w:t>
      </w:r>
    </w:p>
    <w:p w14:paraId="38956072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5. KEY VOCABULARY</w:t>
      </w:r>
    </w:p>
    <w:p w14:paraId="55A1BC72" w14:textId="77777777" w:rsidR="000F54C5" w:rsidRPr="00EE4E53" w:rsidRDefault="00AF5899">
      <w:pPr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employability • skill • experience • achievement • feedback • challenge • CV • resumé • online presence • CAR method • context • action • result • post-16 • pathway • academic • vocational • apprenticeship • T Level • A level • BTEC • NVQ • qualification level • entry requirement • impartial • bias • alternative • pros and cons • careers adviser • confidence • optimism • indecision • shortlist • predicted grade • application • interview • provider • Plan A • Plan B • exam stress • sign • symptom • coping st</w:t>
      </w:r>
      <w:r w:rsidRPr="00EE4E53">
        <w:rPr>
          <w:rFonts w:asciiTheme="majorHAnsi" w:hAnsiTheme="majorHAnsi" w:cstheme="majorHAnsi"/>
          <w:sz w:val="24"/>
          <w:szCs w:val="24"/>
        </w:rPr>
        <w:t>rategy • degree apprenticeship • higher education</w:t>
      </w:r>
    </w:p>
    <w:p w14:paraId="38C742BF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6. CHARACTER, SMSC AND WIDER CURRICULUM LINKS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0F54C5" w:rsidRPr="00EE4E53" w14:paraId="44BE8025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58715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F016CF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How the unit develops it</w:t>
            </w:r>
          </w:p>
        </w:tc>
      </w:tr>
      <w:tr w:rsidR="000F54C5" w:rsidRPr="00EE4E53" w14:paraId="404CB10A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46F6A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Character and employability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71AED3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Curiosity through researching routes; motivation through applications and revision; independence through decision-making; organisation and communication through CVs and application tracking.</w:t>
            </w:r>
          </w:p>
        </w:tc>
      </w:tr>
      <w:tr w:rsidR="000F54C5" w:rsidRPr="00EE4E53" w14:paraId="29FBBAF5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30A50C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SMSC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38A416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Reflection on identity, confidence and aspiration; respect for different routes; responsible engagement with advice; resilience during uncertainty, applications and examinations.</w:t>
            </w:r>
          </w:p>
        </w:tc>
      </w:tr>
      <w:tr w:rsidR="000F54C5" w:rsidRPr="00EE4E53" w14:paraId="294DF7C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40101D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Careers education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9B6EA78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Skills evidence, CV development, post-16 pathways, impartial guidance, provider research, shortlisting, college applications, apprenticeships and higher education.</w:t>
            </w:r>
          </w:p>
        </w:tc>
      </w:tr>
      <w:tr w:rsidR="000F54C5" w:rsidRPr="00EE4E53" w14:paraId="4A45805D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285721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Personal effectiveness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A356CB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Goal setting, prioritising tasks, managing deadlines, responding to feedback, asking for help, professional communication and maintaining accurate records.</w:t>
            </w:r>
          </w:p>
        </w:tc>
      </w:tr>
      <w:tr w:rsidR="000F54C5" w:rsidRPr="00EE4E53" w14:paraId="072684D1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5A48B9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Health and wellbeing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A4D25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Recognition of stress, revision balance, relaxation, peer support, trusted-adult help and referral to appropriate mental-health information.</w:t>
            </w:r>
          </w:p>
        </w:tc>
      </w:tr>
      <w:tr w:rsidR="000F54C5" w:rsidRPr="00EE4E53" w14:paraId="1FF87B5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C1E94A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Literacy, numeracy and digital skills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1FB1E6" w14:textId="77777777" w:rsidR="000F54C5" w:rsidRPr="00EE4E53" w:rsidRDefault="00AF5899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E4E53">
              <w:rPr>
                <w:rFonts w:asciiTheme="majorHAnsi" w:hAnsiTheme="majorHAnsi" w:cstheme="majorHAnsi"/>
                <w:sz w:val="24"/>
                <w:szCs w:val="24"/>
              </w:rPr>
              <w:t>Concise evidence writing, comparing options, interpreting grades and entry requirements, completing online forms and using Unifrog responsibly.</w:t>
            </w:r>
          </w:p>
        </w:tc>
      </w:tr>
    </w:tbl>
    <w:p w14:paraId="1AA016E4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7. SAFEGUARDING, INCLUSION AND DELIVERY NOTES</w:t>
      </w:r>
    </w:p>
    <w:p w14:paraId="0A9AE659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Avoid presenting one post-16 route as inherently better. Advice should remain impartial and responsive to each pupil’s interests, attainment, needs and circumstances.</w:t>
      </w:r>
    </w:p>
    <w:p w14:paraId="73839CAD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Do not require pupils to disclose anxiety, family pressure, disability, financial circumstances or personal application outcomes in front of peers.</w:t>
      </w:r>
    </w:p>
    <w:p w14:paraId="1B1E8978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Provide individual guidance or referral where a pupil remains undecided, has no appropriate destination, is at risk of missing deadlines or needs reasonable adjustments.</w:t>
      </w:r>
    </w:p>
    <w:p w14:paraId="7D8C745E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Check current provider courses, qualification levels, entry requirements, open evenings, application deadlines, transport and bursary arrangements before delivery.</w:t>
      </w:r>
    </w:p>
    <w:p w14:paraId="105927B2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Use secure school-approved routes for personal data. Pupils should use an email account they check and should not share passwords or application login details.</w:t>
      </w:r>
    </w:p>
    <w:p w14:paraId="4754A0B8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 xml:space="preserve">Distinguish ordinary exam pressure from distress that affects daily </w:t>
      </w:r>
      <w:proofErr w:type="gramStart"/>
      <w:r w:rsidRPr="00EE4E53">
        <w:rPr>
          <w:rFonts w:asciiTheme="majorHAnsi" w:hAnsiTheme="majorHAnsi" w:cstheme="majorHAnsi"/>
          <w:sz w:val="24"/>
          <w:szCs w:val="24"/>
        </w:rPr>
        <w:t>functioning, and</w:t>
      </w:r>
      <w:proofErr w:type="gramEnd"/>
      <w:r w:rsidRPr="00EE4E53">
        <w:rPr>
          <w:rFonts w:asciiTheme="majorHAnsi" w:hAnsiTheme="majorHAnsi" w:cstheme="majorHAnsi"/>
          <w:sz w:val="24"/>
          <w:szCs w:val="24"/>
        </w:rPr>
        <w:t xml:space="preserve"> follow safeguarding or pastoral procedures where wellbeing concerns arise.</w:t>
      </w:r>
    </w:p>
    <w:p w14:paraId="14A69082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Verify current compulsory participation rules, apprenticeship information, university finance and local application processes before teaching.</w:t>
      </w:r>
    </w:p>
    <w:p w14:paraId="550280A6" w14:textId="77777777" w:rsidR="000F54C5" w:rsidRPr="00EE4E53" w:rsidRDefault="00AF5899">
      <w:pPr>
        <w:pStyle w:val="Heading1"/>
        <w:rPr>
          <w:rFonts w:cstheme="majorHAnsi"/>
          <w:sz w:val="24"/>
          <w:szCs w:val="24"/>
        </w:rPr>
      </w:pPr>
      <w:r w:rsidRPr="00EE4E53">
        <w:rPr>
          <w:rFonts w:cstheme="majorHAnsi"/>
          <w:sz w:val="24"/>
          <w:szCs w:val="24"/>
        </w:rPr>
        <w:t>8. LEARNING WALK LOOK-FORS</w:t>
      </w:r>
    </w:p>
    <w:p w14:paraId="5C0E4DB3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Pupils can explain the destination or decision they are working towards and identify their next action.</w:t>
      </w:r>
    </w:p>
    <w:p w14:paraId="2BC7AD5C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CV statements and application work use specific evidence rather than unsupported claims.</w:t>
      </w:r>
    </w:p>
    <w:p w14:paraId="26527A64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Pupils compare routes through entry requirements, learning style, cost, experience and progression.</w:t>
      </w:r>
    </w:p>
    <w:p w14:paraId="452E0B3F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Unifrog records, shortlists and trackers show purposeful research and current application status.</w:t>
      </w:r>
    </w:p>
    <w:p w14:paraId="12723D37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Pupils can name signs of exam stress, select practical strategies and identify appropriate support.</w:t>
      </w:r>
    </w:p>
    <w:p w14:paraId="43A32BD7" w14:textId="77777777" w:rsidR="000F54C5" w:rsidRPr="00EE4E53" w:rsidRDefault="00AF5899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EE4E53">
        <w:rPr>
          <w:rFonts w:asciiTheme="majorHAnsi" w:hAnsiTheme="majorHAnsi" w:cstheme="majorHAnsi"/>
          <w:sz w:val="24"/>
          <w:szCs w:val="24"/>
        </w:rPr>
        <w:t>Teaching communicates high expectations while recognising that suitable post-16 pathways differ between pupils.</w:t>
      </w:r>
    </w:p>
    <w:sectPr w:rsidR="000F54C5" w:rsidRPr="00EE4E53" w:rsidSect="00034616">
      <w:footerReference w:type="default" r:id="rId8"/>
      <w:pgSz w:w="12240" w:h="15840"/>
      <w:pgMar w:top="720" w:right="835" w:bottom="720" w:left="8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96F53" w14:textId="77777777" w:rsidR="00AF5899" w:rsidRDefault="00AF5899">
      <w:pPr>
        <w:spacing w:after="0" w:line="240" w:lineRule="auto"/>
      </w:pPr>
      <w:r>
        <w:separator/>
      </w:r>
    </w:p>
  </w:endnote>
  <w:endnote w:type="continuationSeparator" w:id="0">
    <w:p w14:paraId="5CEB4B81" w14:textId="77777777" w:rsidR="00AF5899" w:rsidRDefault="00AF5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8BFD" w14:textId="77777777" w:rsidR="000F54C5" w:rsidRDefault="00AF5899">
    <w:pPr>
      <w:pStyle w:val="Footer"/>
      <w:jc w:val="center"/>
    </w:pPr>
    <w:r>
      <w:rPr>
        <w:color w:val="123B69"/>
        <w:sz w:val="16"/>
      </w:rPr>
      <w:t>Year 11 PSHE | Autumn Term | Living in the Wider World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90C7A" w14:textId="77777777" w:rsidR="00AF5899" w:rsidRDefault="00AF5899">
      <w:pPr>
        <w:spacing w:after="0" w:line="240" w:lineRule="auto"/>
      </w:pPr>
      <w:r>
        <w:separator/>
      </w:r>
    </w:p>
  </w:footnote>
  <w:footnote w:type="continuationSeparator" w:id="0">
    <w:p w14:paraId="27FEBC83" w14:textId="77777777" w:rsidR="00AF5899" w:rsidRDefault="00AF5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726849">
    <w:abstractNumId w:val="8"/>
  </w:num>
  <w:num w:numId="2" w16cid:durableId="710542919">
    <w:abstractNumId w:val="6"/>
  </w:num>
  <w:num w:numId="3" w16cid:durableId="1324620239">
    <w:abstractNumId w:val="5"/>
  </w:num>
  <w:num w:numId="4" w16cid:durableId="277374216">
    <w:abstractNumId w:val="4"/>
  </w:num>
  <w:num w:numId="5" w16cid:durableId="1084109195">
    <w:abstractNumId w:val="7"/>
  </w:num>
  <w:num w:numId="6" w16cid:durableId="324017000">
    <w:abstractNumId w:val="3"/>
  </w:num>
  <w:num w:numId="7" w16cid:durableId="2085255477">
    <w:abstractNumId w:val="2"/>
  </w:num>
  <w:num w:numId="8" w16cid:durableId="1717005696">
    <w:abstractNumId w:val="1"/>
  </w:num>
  <w:num w:numId="9" w16cid:durableId="1276132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54C5"/>
    <w:rsid w:val="0015074B"/>
    <w:rsid w:val="0029639D"/>
    <w:rsid w:val="00326F90"/>
    <w:rsid w:val="009C5E9D"/>
    <w:rsid w:val="00AA1D8D"/>
    <w:rsid w:val="00AF5899"/>
    <w:rsid w:val="00B47730"/>
    <w:rsid w:val="00CB0664"/>
    <w:rsid w:val="00EE4E5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32E58A"/>
  <w14:defaultImageDpi w14:val="300"/>
  <w15:docId w15:val="{F9B988F7-EFBD-4141-9941-9EF8BE70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color w:val="1F2D3D"/>
      <w:sz w:val="1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123B69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123B6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40" w:line="240" w:lineRule="auto"/>
      <w:contextualSpacing/>
    </w:pPr>
    <w:rPr>
      <w:rFonts w:asciiTheme="majorHAnsi" w:eastAsiaTheme="majorEastAsia" w:hAnsiTheme="majorHAnsi" w:cstheme="majorBidi"/>
      <w:b/>
      <w:color w:val="123B6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140"/>
    </w:pPr>
    <w:rPr>
      <w:rFonts w:asciiTheme="majorHAnsi" w:eastAsiaTheme="majorEastAsia" w:hAnsiTheme="majorHAnsi" w:cstheme="majorBidi"/>
      <w:b/>
      <w:i/>
      <w:iCs/>
      <w:color w:val="123B6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PSHE Curriculum Overview - Autumn Term: Living in the Wider World</dc:title>
  <dc:subject/>
  <dc:creator>python-docx</dc:creator>
  <cp:keywords/>
  <dc:description>generated by python-docx</dc:description>
  <cp:lastModifiedBy>Becky Smith</cp:lastModifiedBy>
  <cp:revision>2</cp:revision>
  <dcterms:created xsi:type="dcterms:W3CDTF">2026-09-14T13:33:00Z</dcterms:created>
  <dcterms:modified xsi:type="dcterms:W3CDTF">2026-09-14T13:33:00Z</dcterms:modified>
  <cp:category/>
</cp:coreProperties>
</file>