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85"/>
        <w:gridCol w:w="5285"/>
      </w:tblGrid>
      <w:tr w:rsidR="00B71D32" w14:paraId="7E24747C" w14:textId="77777777">
        <w:trPr>
          <w:cantSplit/>
        </w:trPr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1AC4D6F" w14:textId="77777777" w:rsidR="00B71D32" w:rsidRDefault="004067D8">
            <w:pPr>
              <w:spacing w:after="0" w:line="240" w:lineRule="auto"/>
            </w:pPr>
            <w:r>
              <w:rPr>
                <w:b/>
                <w:color w:val="FFFFFF"/>
                <w:sz w:val="36"/>
              </w:rPr>
              <w:t>YEAR 10 PSHE CURRICULUM OVERVIEW</w:t>
            </w:r>
          </w:p>
        </w:tc>
        <w:tc>
          <w:tcPr>
            <w:tcW w:w="5285" w:type="dxa"/>
            <w:shd w:val="clear" w:color="auto" w:fill="F4C542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A237AA2" w14:textId="77777777" w:rsidR="00B71D32" w:rsidRDefault="004067D8">
            <w:pPr>
              <w:spacing w:after="0" w:line="240" w:lineRule="auto"/>
              <w:jc w:val="center"/>
            </w:pPr>
            <w:r>
              <w:rPr>
                <w:b/>
                <w:color w:val="123B69"/>
                <w:sz w:val="20"/>
              </w:rPr>
              <w:t>AUT</w:t>
            </w:r>
          </w:p>
        </w:tc>
      </w:tr>
    </w:tbl>
    <w:p w14:paraId="5795BEDE" w14:textId="77777777" w:rsidR="00B71D32" w:rsidRPr="000F7ED4" w:rsidRDefault="004067D8">
      <w:pPr>
        <w:pStyle w:val="Subtitle"/>
        <w:rPr>
          <w:rFonts w:cstheme="majorHAnsi"/>
        </w:rPr>
      </w:pPr>
      <w:r w:rsidRPr="000F7ED4">
        <w:rPr>
          <w:rFonts w:cstheme="majorHAnsi"/>
        </w:rPr>
        <w:t>AUTUMN TERM: LIVING IN THE WIDER WORLD</w:t>
      </w:r>
    </w:p>
    <w:p w14:paraId="26C83460" w14:textId="77777777" w:rsidR="00B71D32" w:rsidRPr="000F7ED4" w:rsidRDefault="004067D8">
      <w:pPr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b/>
          <w:sz w:val="24"/>
          <w:szCs w:val="24"/>
        </w:rPr>
        <w:t xml:space="preserve">Curriculum purpose: </w:t>
      </w:r>
      <w:r w:rsidRPr="000F7ED4">
        <w:rPr>
          <w:rFonts w:asciiTheme="majorHAnsi" w:hAnsiTheme="majorHAnsi" w:cstheme="majorHAnsi"/>
          <w:sz w:val="24"/>
          <w:szCs w:val="24"/>
        </w:rPr>
        <w:t>To prepare pupils to participate safely and critically in digital life, resist harmful online influence, protect themselves from fraud and misinformation, and approach work experience with professional awareness.</w:t>
      </w:r>
    </w:p>
    <w:p w14:paraId="698E05AA" w14:textId="77777777" w:rsidR="00B71D32" w:rsidRPr="000F7ED4" w:rsidRDefault="004067D8">
      <w:pPr>
        <w:pStyle w:val="Heading1"/>
        <w:rPr>
          <w:rFonts w:cstheme="majorHAnsi"/>
          <w:sz w:val="24"/>
          <w:szCs w:val="24"/>
        </w:rPr>
      </w:pPr>
      <w:r w:rsidRPr="000F7ED4">
        <w:rPr>
          <w:rFonts w:cstheme="majorHAnsi"/>
          <w:sz w:val="24"/>
          <w:szCs w:val="24"/>
        </w:rPr>
        <w:t>1. CURRICULUM INTENT</w:t>
      </w:r>
    </w:p>
    <w:p w14:paraId="087C2CD8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Develop pupils’ understanding of their rights, responsibilities and wellbeing when communicating and participating online.</w:t>
      </w:r>
    </w:p>
    <w:p w14:paraId="1ED10508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Enable pupils to recognise hate speech, xenophobia, extremist narratives and possible pathways into radicalisation.</w:t>
      </w:r>
    </w:p>
    <w:p w14:paraId="53BABDFA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Teach safe, lawful responses to harmful content, including reporting, counter-speech and trusted-adult support.</w:t>
      </w:r>
    </w:p>
    <w:p w14:paraId="3E16F0E5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Build practical protection against phishing, fraud, scams, blackmail and other forms of cybercrime.</w:t>
      </w:r>
    </w:p>
    <w:p w14:paraId="11244933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proofErr w:type="gramStart"/>
      <w:r w:rsidRPr="000F7ED4">
        <w:rPr>
          <w:rFonts w:asciiTheme="majorHAnsi" w:hAnsiTheme="majorHAnsi" w:cstheme="majorHAnsi"/>
          <w:sz w:val="24"/>
          <w:szCs w:val="24"/>
        </w:rPr>
        <w:t>Strengthen</w:t>
      </w:r>
      <w:proofErr w:type="gramEnd"/>
      <w:r w:rsidRPr="000F7ED4">
        <w:rPr>
          <w:rFonts w:asciiTheme="majorHAnsi" w:hAnsiTheme="majorHAnsi" w:cstheme="majorHAnsi"/>
          <w:sz w:val="24"/>
          <w:szCs w:val="24"/>
        </w:rPr>
        <w:t xml:space="preserve"> critical judgement about chatbots, AI-generated advice, misinformation and emotionally persuasive technology.</w:t>
      </w:r>
    </w:p>
    <w:p w14:paraId="3818F25C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Challenge online misogyny and harmful gender stereotypes while promoting positive belonging and respectful role models.</w:t>
      </w:r>
    </w:p>
    <w:p w14:paraId="30167C2E" w14:textId="77777777" w:rsidR="00B71D32" w:rsidRPr="000F7ED4" w:rsidRDefault="004067D8">
      <w:pPr>
        <w:pStyle w:val="ListBullet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Prepare pupils for work experience through health and safety, professional conduct, communication and purposeful reflection.</w:t>
      </w:r>
    </w:p>
    <w:p w14:paraId="69A6B27F" w14:textId="77777777" w:rsidR="00B71D32" w:rsidRPr="000F7ED4" w:rsidRDefault="004067D8">
      <w:pPr>
        <w:pStyle w:val="Heading1"/>
        <w:rPr>
          <w:rFonts w:cstheme="majorHAnsi"/>
          <w:sz w:val="24"/>
          <w:szCs w:val="24"/>
        </w:rPr>
      </w:pPr>
      <w:r w:rsidRPr="000F7ED4">
        <w:rPr>
          <w:rFonts w:cstheme="majorHAnsi"/>
          <w:sz w:val="24"/>
          <w:szCs w:val="24"/>
        </w:rPr>
        <w:t>2. AUTUMN TERM CURRICULUM SEQUENCE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656"/>
        <w:gridCol w:w="1656"/>
        <w:gridCol w:w="2451"/>
        <w:gridCol w:w="2487"/>
        <w:gridCol w:w="2310"/>
      </w:tblGrid>
      <w:tr w:rsidR="00B71D32" w:rsidRPr="000F7ED4" w14:paraId="43EB6E82" w14:textId="77777777" w:rsidTr="000F7ED4">
        <w:trPr>
          <w:cantSplit/>
          <w:tblHeader/>
          <w:jc w:val="center"/>
        </w:trPr>
        <w:tc>
          <w:tcPr>
            <w:tcW w:w="846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B1A9E69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#</w:t>
            </w:r>
          </w:p>
        </w:tc>
        <w:tc>
          <w:tcPr>
            <w:tcW w:w="846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73BE7AF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Lesson focus</w:t>
            </w:r>
          </w:p>
        </w:tc>
        <w:tc>
          <w:tcPr>
            <w:tcW w:w="1222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033C745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Core knowledge and understanding</w:t>
            </w:r>
          </w:p>
        </w:tc>
        <w:tc>
          <w:tcPr>
            <w:tcW w:w="1239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D70595C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Learning experiences</w:t>
            </w:r>
          </w:p>
        </w:tc>
        <w:tc>
          <w:tcPr>
            <w:tcW w:w="846" w:type="pct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A212092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Evidence / assessment</w:t>
            </w:r>
          </w:p>
        </w:tc>
      </w:tr>
      <w:tr w:rsidR="00B71D32" w:rsidRPr="000F7ED4" w14:paraId="5E54349E" w14:textId="77777777" w:rsidTr="000F7ED4">
        <w:trPr>
          <w:cantSplit/>
          <w:jc w:val="center"/>
        </w:trPr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9FB5987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AA663E2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Online behaviour and responsibility</w:t>
            </w:r>
          </w:p>
        </w:tc>
        <w:tc>
          <w:tcPr>
            <w:tcW w:w="122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C52DF1E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Online actions can support or harm wellbeing. Users hold rights and responsibilities and should monitor how their conduct affects other people.</w:t>
            </w:r>
          </w:p>
        </w:tc>
        <w:tc>
          <w:tcPr>
            <w:tcW w:w="1239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2467237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Audit personal internet use and risk; analyse scenarios; research safety guidance; classify rights and responsibilities; create a positive online-behaviour message.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988C8A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Risk list, scenario reasoning, rights/responsibilities sort and campaign slogan.</w:t>
            </w:r>
          </w:p>
        </w:tc>
      </w:tr>
      <w:tr w:rsidR="00B71D32" w:rsidRPr="000F7ED4" w14:paraId="746DB9F1" w14:textId="77777777" w:rsidTr="000F7ED4">
        <w:trPr>
          <w:cantSplit/>
          <w:jc w:val="center"/>
        </w:trPr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F736ADC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2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9D7757A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Hate speech and extremism</w:t>
            </w:r>
          </w:p>
        </w:tc>
        <w:tc>
          <w:tcPr>
            <w:tcW w:w="1222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9C2B752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 xml:space="preserve">Hate speech </w:t>
            </w:r>
            <w:proofErr w:type="gramStart"/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targets</w:t>
            </w:r>
            <w:proofErr w:type="gramEnd"/>
            <w:r w:rsidRPr="000F7ED4">
              <w:rPr>
                <w:rFonts w:asciiTheme="majorHAnsi" w:hAnsiTheme="majorHAnsi" w:cstheme="majorHAnsi"/>
                <w:sz w:val="24"/>
                <w:szCs w:val="24"/>
              </w:rPr>
              <w:t xml:space="preserve"> identity through discriminatory communication. Radical views do not automatically lead to violence, but extremist content may normalise hostility or support harm.</w:t>
            </w:r>
          </w:p>
        </w:tc>
        <w:tc>
          <w:tcPr>
            <w:tcW w:w="1239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DFF6AC8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Define and identify hate speech; sort online attitudes; analyse language and impact; explore different forms of extremism and sources of support.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AB031A8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Annotated example, reasoned discussion and accurate recognition of harmful content.</w:t>
            </w:r>
          </w:p>
        </w:tc>
      </w:tr>
      <w:tr w:rsidR="00B71D32" w:rsidRPr="000F7ED4" w14:paraId="33813395" w14:textId="77777777" w:rsidTr="000F7ED4">
        <w:trPr>
          <w:cantSplit/>
          <w:jc w:val="center"/>
        </w:trPr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083506E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8B16BCC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Tackling hate and radicalisation</w:t>
            </w:r>
          </w:p>
        </w:tc>
        <w:tc>
          <w:tcPr>
            <w:tcW w:w="122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98130CD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Free speech and hate speech have different boundaries. Counter-speech can challenge stereotypes, xenophobia and extremist claims without escalating harm.</w:t>
            </w:r>
          </w:p>
        </w:tc>
        <w:tc>
          <w:tcPr>
            <w:tcW w:w="1239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C39EB16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Revisit types of extremism; analyse a radicalisation drama; compare free and hateful speech; explore counter-speech; create an inclusive response poster.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4FC70D4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Comparison table and counter-speech poster demonstrating inclusion.</w:t>
            </w:r>
          </w:p>
        </w:tc>
      </w:tr>
      <w:tr w:rsidR="00B71D32" w:rsidRPr="000F7ED4" w14:paraId="4117C39D" w14:textId="77777777" w:rsidTr="000F7ED4">
        <w:trPr>
          <w:cantSplit/>
          <w:jc w:val="center"/>
        </w:trPr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EA4A84D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DD995A0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#BeeWell, fraud and blackmail</w:t>
            </w:r>
          </w:p>
        </w:tc>
        <w:tc>
          <w:tcPr>
            <w:tcW w:w="1222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F4DD425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Pupil voice can inform local wellbeing action. Phishing, fraud, scams, blackmail and cybercrime use deception, pressure or stolen information for personal or financial gain.</w:t>
            </w:r>
          </w:p>
        </w:tc>
        <w:tc>
          <w:tcPr>
            <w:tcW w:w="1239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7D0720D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Complete the anonymised #BeeWell survey; define key fraud terms; read about common scams; research sources and record protective actions in the booklet.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2B411B3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Survey participation, key-term accuracy and completed fraud-source table.</w:t>
            </w:r>
          </w:p>
        </w:tc>
      </w:tr>
      <w:tr w:rsidR="00B71D32" w:rsidRPr="000F7ED4" w14:paraId="3796A839" w14:textId="77777777" w:rsidTr="000F7ED4">
        <w:trPr>
          <w:cantSplit/>
          <w:jc w:val="center"/>
        </w:trPr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7B831BB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058A8A8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Chatbots, AI and critical thinking</w:t>
            </w:r>
          </w:p>
        </w:tc>
        <w:tc>
          <w:tcPr>
            <w:tcW w:w="122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44AE0B6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Chatbots simulate human conversation but can give false, unsafe or manipulative advice. Risks include privacy loss, dependency, misinformation and reduced contact with real support.</w:t>
            </w:r>
          </w:p>
        </w:tc>
        <w:tc>
          <w:tcPr>
            <w:tcW w:w="1239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79BA25A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Explore why chatbots feel persuasive; assess health, relationship and privacy case studies; recommend safe responses; create a younger-pupil advice post.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8B01EB4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Case-study analysis and critical-thinking advice graphic with clear support routes.</w:t>
            </w:r>
          </w:p>
        </w:tc>
      </w:tr>
      <w:tr w:rsidR="00B71D32" w:rsidRPr="000F7ED4" w14:paraId="2C4BABF2" w14:textId="77777777" w:rsidTr="000F7ED4">
        <w:trPr>
          <w:cantSplit/>
          <w:jc w:val="center"/>
        </w:trPr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9C05B77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6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381A604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Online misogyny and positive masculinity</w:t>
            </w:r>
          </w:p>
        </w:tc>
        <w:tc>
          <w:tcPr>
            <w:tcW w:w="1222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FCAD3BA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Toxic masculinity promotes restrictive or harmful expectations. Misogyny and manosphere content can exploit loneliness and the need to belong, then reinforce hostility towards women and girls.</w:t>
            </w:r>
          </w:p>
        </w:tc>
        <w:tc>
          <w:tcPr>
            <w:tcW w:w="1239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294C1B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Define key terms; examine online and real-world impact; discuss protective positive belonging; compare case studies of constructive male role models.</w:t>
            </w:r>
          </w:p>
        </w:tc>
        <w:tc>
          <w:tcPr>
            <w:tcW w:w="846" w:type="pct"/>
            <w:shd w:val="clear" w:color="auto" w:fill="F5F8FC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25970DD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Vocabulary notes, discussion responses and qualities of a positive role model.</w:t>
            </w:r>
          </w:p>
        </w:tc>
      </w:tr>
      <w:tr w:rsidR="00B71D32" w:rsidRPr="000F7ED4" w14:paraId="57BA4671" w14:textId="77777777" w:rsidTr="000F7ED4">
        <w:trPr>
          <w:cantSplit/>
          <w:jc w:val="center"/>
        </w:trPr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E103EB3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7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042466D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Fake news and media literacy</w:t>
            </w:r>
          </w:p>
        </w:tc>
        <w:tc>
          <w:tcPr>
            <w:tcW w:w="1222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9947E92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False content may seek money, influence, attention or disruption. Critical thinking requires checking source, evidence, date, author, purpose and corroboration.</w:t>
            </w:r>
          </w:p>
        </w:tc>
        <w:tc>
          <w:tcPr>
            <w:tcW w:w="1239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0C858A5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Analyse a viral story; research motives; use a checking guide to classify examples; debate whether deliberate fake news should become a criminal offence.</w:t>
            </w:r>
          </w:p>
        </w:tc>
        <w:tc>
          <w:tcPr>
            <w:tcW w:w="846" w:type="pct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0FD7D3C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Source-check decisions, balanced written argument and end-of-unit evaluation.</w:t>
            </w:r>
          </w:p>
        </w:tc>
      </w:tr>
      <w:tr w:rsidR="00B71D32" w:rsidRPr="000F7ED4" w14:paraId="7134F575" w14:textId="77777777" w:rsidTr="000F7ED4">
        <w:trPr>
          <w:cantSplit/>
          <w:jc w:val="center"/>
        </w:trPr>
        <w:tc>
          <w:tcPr>
            <w:tcW w:w="846" w:type="pct"/>
            <w:shd w:val="clear" w:color="auto" w:fill="F5F8FC"/>
          </w:tcPr>
          <w:p w14:paraId="202D44E7" w14:textId="77777777" w:rsidR="00B71D32" w:rsidRPr="000F7ED4" w:rsidRDefault="004067D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8</w:t>
            </w:r>
          </w:p>
        </w:tc>
        <w:tc>
          <w:tcPr>
            <w:tcW w:w="846" w:type="pct"/>
            <w:shd w:val="clear" w:color="auto" w:fill="F5F8FC"/>
          </w:tcPr>
          <w:p w14:paraId="03B92252" w14:textId="77777777" w:rsidR="00B71D32" w:rsidRPr="000F7ED4" w:rsidRDefault="004067D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Work experience preparation</w:t>
            </w:r>
          </w:p>
        </w:tc>
        <w:tc>
          <w:tcPr>
            <w:tcW w:w="1222" w:type="pct"/>
            <w:shd w:val="clear" w:color="auto" w:fill="F5F8FC"/>
          </w:tcPr>
          <w:p w14:paraId="70665371" w14:textId="77777777" w:rsidR="00B71D32" w:rsidRPr="000F7ED4" w:rsidRDefault="004067D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Preparation supports safety and learning. Pupils need clear protocols for absence, lateness, mistakes, communication, confidentiality, online conduct and workplace health and safety.</w:t>
            </w:r>
          </w:p>
        </w:tc>
        <w:tc>
          <w:tcPr>
            <w:tcW w:w="1239" w:type="pct"/>
            <w:shd w:val="clear" w:color="auto" w:fill="F5F8FC"/>
          </w:tcPr>
          <w:p w14:paraId="209C03F9" w14:textId="77777777" w:rsidR="00B71D32" w:rsidRPr="000F7ED4" w:rsidRDefault="004067D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Complete work-experience administration; solve workplace scenarios; set personal goals; research the organisation and roles; record preparation and later reflection on Unifrog.</w:t>
            </w:r>
          </w:p>
        </w:tc>
        <w:tc>
          <w:tcPr>
            <w:tcW w:w="846" w:type="pct"/>
            <w:shd w:val="clear" w:color="auto" w:fill="F5F8FC"/>
          </w:tcPr>
          <w:p w14:paraId="1C512CEB" w14:textId="77777777" w:rsidR="00B71D32" w:rsidRPr="000F7ED4" w:rsidRDefault="004067D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Journal entries, scenario decisions, placement research and specific development goals.</w:t>
            </w:r>
          </w:p>
        </w:tc>
      </w:tr>
    </w:tbl>
    <w:p w14:paraId="17B96B4A" w14:textId="77777777" w:rsidR="00B71D32" w:rsidRPr="000F7ED4" w:rsidRDefault="004067D8">
      <w:pPr>
        <w:pStyle w:val="Heading1"/>
        <w:rPr>
          <w:rFonts w:cstheme="majorHAnsi"/>
          <w:sz w:val="24"/>
          <w:szCs w:val="24"/>
        </w:rPr>
      </w:pPr>
      <w:r w:rsidRPr="000F7ED4">
        <w:rPr>
          <w:rFonts w:cstheme="majorHAnsi"/>
          <w:sz w:val="24"/>
          <w:szCs w:val="24"/>
        </w:rPr>
        <w:t>3. END-OF-UNIT KNOWLEDGE AND SKILLS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80"/>
        <w:gridCol w:w="5280"/>
      </w:tblGrid>
      <w:tr w:rsidR="00B71D32" w:rsidRPr="000F7ED4" w14:paraId="6FD08BB3" w14:textId="77777777">
        <w:trPr>
          <w:cantSplit/>
          <w:jc w:val="center"/>
        </w:trPr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F55AB02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Pupils should know</w:t>
            </w:r>
          </w:p>
        </w:tc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48E3D3F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Pupils should be able to</w:t>
            </w:r>
          </w:p>
        </w:tc>
      </w:tr>
      <w:tr w:rsidR="00B71D32" w:rsidRPr="000F7ED4" w14:paraId="1960CEDD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E8C4EDC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• how online behaviour can affect wellbeing, relationships, reputation and safety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7BA1913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• assess online risk and apply rights, responsibilities and reporting routes</w:t>
            </w:r>
          </w:p>
        </w:tc>
      </w:tr>
      <w:tr w:rsidR="00B71D32" w:rsidRPr="000F7ED4" w14:paraId="34095593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1ECA969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• the meanings of hate speech, xenophobia, extremism, radicalisation and counter-speech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F2BF2AA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• distinguish free expression from harmful content and create responsible counter-speech</w:t>
            </w:r>
          </w:p>
        </w:tc>
      </w:tr>
      <w:tr w:rsidR="00B71D32" w:rsidRPr="000F7ED4" w14:paraId="22FA387A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524BEDE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• the main features of phishing, scams, fraud, blackmail and cybercrime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DBB3C04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• recognise common fraud techniques and choose protective actions</w:t>
            </w:r>
          </w:p>
        </w:tc>
      </w:tr>
      <w:tr w:rsidR="00B71D32" w:rsidRPr="000F7ED4" w14:paraId="09338DC4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4555DAF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• why chatbots may provide inaccurate advice or encourage unhealthy dependence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9F7F9B7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• evaluate chatbot advice, protect privacy and seek qualified human support</w:t>
            </w:r>
          </w:p>
        </w:tc>
      </w:tr>
      <w:tr w:rsidR="00B71D32" w:rsidRPr="000F7ED4" w14:paraId="55DF78EB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9D25918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• how misogyny and harmful masculinity narratives spread through online communities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5B0ACBC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• challenge misogynistic ideas and identify healthier sources of belonging</w:t>
            </w:r>
          </w:p>
        </w:tc>
      </w:tr>
      <w:tr w:rsidR="00B71D32" w:rsidRPr="000F7ED4" w14:paraId="7264957E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92EBA4A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• why fake news exists and the checks used to test online claims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0ADB0CE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• check sources, compare evidence and write a balanced argument about misinformation</w:t>
            </w:r>
          </w:p>
        </w:tc>
      </w:tr>
      <w:tr w:rsidR="00B71D32" w:rsidRPr="000F7ED4" w14:paraId="0C383AD1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7C7E7A1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• the professional conduct, safety and communication expected during work experience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B0DD1D8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• apply workplace protocols, set goals and record preparation and reflection on Unifrog</w:t>
            </w:r>
          </w:p>
        </w:tc>
      </w:tr>
    </w:tbl>
    <w:p w14:paraId="64351467" w14:textId="77777777" w:rsidR="00B71D32" w:rsidRPr="000F7ED4" w:rsidRDefault="004067D8">
      <w:pPr>
        <w:pStyle w:val="Heading1"/>
        <w:rPr>
          <w:rFonts w:cstheme="majorHAnsi"/>
          <w:sz w:val="24"/>
          <w:szCs w:val="24"/>
        </w:rPr>
      </w:pPr>
      <w:r w:rsidRPr="000F7ED4">
        <w:rPr>
          <w:rFonts w:cstheme="majorHAnsi"/>
          <w:sz w:val="24"/>
          <w:szCs w:val="24"/>
        </w:rPr>
        <w:t>4. ASSESSMENT AND EVIDENCE OF PROGRESS</w:t>
      </w:r>
    </w:p>
    <w:p w14:paraId="635CA143" w14:textId="77777777" w:rsidR="00B71D32" w:rsidRPr="000F7ED4" w:rsidRDefault="004067D8">
      <w:pPr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Assessment is formative and uses booklet responses, scenario analysis, pupil discussion, campaign products, source-checking and work-experience planning. Progress becomes visible when pupils identify a risk, explain how influence or harm operates, then select and justify a safe response.</w:t>
      </w:r>
    </w:p>
    <w:p w14:paraId="73A36C1E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Baseline and retrieval: online uses and risks, definitions of hate speech, prior understanding of AI and fake news.</w:t>
      </w:r>
    </w:p>
    <w:p w14:paraId="5F77A080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Application: online-behaviour scenarios, counter-speech, fraud-source analysis and chatbot case studies.</w:t>
      </w:r>
    </w:p>
    <w:p w14:paraId="0B553408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 xml:space="preserve">Pupil voice and </w:t>
      </w:r>
      <w:proofErr w:type="gramStart"/>
      <w:r w:rsidRPr="000F7ED4">
        <w:rPr>
          <w:rFonts w:asciiTheme="majorHAnsi" w:hAnsiTheme="majorHAnsi" w:cstheme="majorHAnsi"/>
          <w:sz w:val="24"/>
          <w:szCs w:val="24"/>
        </w:rPr>
        <w:t>communication: #</w:t>
      </w:r>
      <w:proofErr w:type="gramEnd"/>
      <w:r w:rsidRPr="000F7ED4">
        <w:rPr>
          <w:rFonts w:asciiTheme="majorHAnsi" w:hAnsiTheme="majorHAnsi" w:cstheme="majorHAnsi"/>
          <w:sz w:val="24"/>
          <w:szCs w:val="24"/>
        </w:rPr>
        <w:t>BeeWell, campaign products, balanced argument and discussion of online influence.</w:t>
      </w:r>
    </w:p>
    <w:p w14:paraId="5EB9CF1A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End point: Living in the Wider World evaluation plus work-experience goals and journal evidence.</w:t>
      </w:r>
    </w:p>
    <w:p w14:paraId="194AFB21" w14:textId="77777777" w:rsidR="00B71D32" w:rsidRPr="000F7ED4" w:rsidRDefault="004067D8">
      <w:pPr>
        <w:pStyle w:val="Heading1"/>
        <w:rPr>
          <w:rFonts w:cstheme="majorHAnsi"/>
          <w:sz w:val="24"/>
          <w:szCs w:val="24"/>
        </w:rPr>
      </w:pPr>
      <w:r w:rsidRPr="000F7ED4">
        <w:rPr>
          <w:rFonts w:cstheme="majorHAnsi"/>
          <w:sz w:val="24"/>
          <w:szCs w:val="24"/>
        </w:rPr>
        <w:t>5. KEY VOCABULARY</w:t>
      </w:r>
    </w:p>
    <w:p w14:paraId="6C90DCEE" w14:textId="77777777" w:rsidR="00B71D32" w:rsidRPr="000F7ED4" w:rsidRDefault="004067D8">
      <w:pPr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online behaviour • digital footprint • cyberbullying • online rights • online responsibilities • wellbeing • hate speech • discrimination • xenophobia • extremism • radicalisation • counter-speech • free speech • reporting • #BeeWell • phishing • fraud • scam • blackmail • cybercrime • personal data • chatbot • artificial intelligence • validation • dependency • conspiracy theory • misinformation • toxic masculinity • misogyny • manosphere • belonging • role model • fake news • troll • source • evidence • c</w:t>
      </w:r>
      <w:r w:rsidRPr="000F7ED4">
        <w:rPr>
          <w:rFonts w:asciiTheme="majorHAnsi" w:hAnsiTheme="majorHAnsi" w:cstheme="majorHAnsi"/>
          <w:sz w:val="24"/>
          <w:szCs w:val="24"/>
        </w:rPr>
        <w:t>orroboration • work experience • protocol • confidentiality • health and safety • accountability</w:t>
      </w:r>
    </w:p>
    <w:p w14:paraId="0C787C4B" w14:textId="77777777" w:rsidR="00B71D32" w:rsidRPr="000F7ED4" w:rsidRDefault="004067D8">
      <w:pPr>
        <w:pStyle w:val="Heading1"/>
        <w:pageBreakBefore/>
        <w:rPr>
          <w:rFonts w:cstheme="majorHAnsi"/>
          <w:sz w:val="24"/>
          <w:szCs w:val="24"/>
        </w:rPr>
      </w:pPr>
      <w:r w:rsidRPr="000F7ED4">
        <w:rPr>
          <w:rFonts w:cstheme="majorHAnsi"/>
          <w:sz w:val="24"/>
          <w:szCs w:val="24"/>
        </w:rPr>
        <w:lastRenderedPageBreak/>
        <w:t>6. CHARACTER, SMSC AND WIDER CURRICULUM LINKS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80"/>
        <w:gridCol w:w="5280"/>
      </w:tblGrid>
      <w:tr w:rsidR="00B71D32" w:rsidRPr="000F7ED4" w14:paraId="55B31F70" w14:textId="77777777">
        <w:trPr>
          <w:cantSplit/>
          <w:jc w:val="center"/>
        </w:trPr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544F708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Area</w:t>
            </w:r>
          </w:p>
        </w:tc>
        <w:tc>
          <w:tcPr>
            <w:tcW w:w="5285" w:type="dxa"/>
            <w:shd w:val="clear" w:color="auto" w:fill="123B6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1C5A0B5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b/>
                <w:color w:val="FFFFFF"/>
                <w:sz w:val="24"/>
                <w:szCs w:val="24"/>
              </w:rPr>
              <w:t>How the unit develops it</w:t>
            </w:r>
          </w:p>
        </w:tc>
      </w:tr>
      <w:tr w:rsidR="00B71D32" w:rsidRPr="000F7ED4" w14:paraId="2833EB63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3C9E3CD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Character and employability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33520B1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Inclusion and understanding through respectful digital conduct; critical thinking through media and AI analysis; curiosity through source-checking; responsibility and accountability through work experience.</w:t>
            </w:r>
          </w:p>
        </w:tc>
      </w:tr>
      <w:tr w:rsidR="00B71D32" w:rsidRPr="000F7ED4" w14:paraId="7ED90C81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AD9FA93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SMSC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76EC06E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Moral reasoning about speech and harm; social responsibility online; reflection on belonging and influence; understanding how hatred, misogyny and misinformation affect diverse communities.</w:t>
            </w:r>
          </w:p>
        </w:tc>
      </w:tr>
      <w:tr w:rsidR="00B71D32" w:rsidRPr="000F7ED4" w14:paraId="6478B733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7C1BB2E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Digital and media literacy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E36B98B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Online risk, privacy, fraud, AI, persuasive design, source evaluation, misinformation, reporting tools and responsible content creation.</w:t>
            </w:r>
          </w:p>
        </w:tc>
      </w:tr>
      <w:tr w:rsidR="00B71D32" w:rsidRPr="000F7ED4" w14:paraId="0F7254DB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6191817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 xml:space="preserve">Safeguarding and </w:t>
            </w:r>
            <w:proofErr w:type="gramStart"/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Prevent</w:t>
            </w:r>
            <w:proofErr w:type="gramEnd"/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BBDE7CD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Recognition of hate speech, extremist narratives, radicalisation, blackmail, manipulation and harmful online communities, with clear reporting and support routes.</w:t>
            </w:r>
          </w:p>
        </w:tc>
      </w:tr>
      <w:tr w:rsidR="00B71D32" w:rsidRPr="000F7ED4" w14:paraId="294700AC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02DFD92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Careers education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F65A3BA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Work-experience protocols, health and safety, communication, workplace research, goal setting, journal evidence and Unifrog recording.</w:t>
            </w:r>
          </w:p>
        </w:tc>
      </w:tr>
      <w:tr w:rsidR="00B71D32" w:rsidRPr="000F7ED4" w14:paraId="6E9CF1A6" w14:textId="77777777">
        <w:trPr>
          <w:cantSplit/>
          <w:jc w:val="center"/>
        </w:trPr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3F181C1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Literacy and oracy</w:t>
            </w:r>
          </w:p>
        </w:tc>
        <w:tc>
          <w:tcPr>
            <w:tcW w:w="5285" w:type="dxa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30B9698" w14:textId="77777777" w:rsidR="00B71D32" w:rsidRPr="000F7ED4" w:rsidRDefault="004067D8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0F7ED4">
              <w:rPr>
                <w:rFonts w:asciiTheme="majorHAnsi" w:hAnsiTheme="majorHAnsi" w:cstheme="majorHAnsi"/>
                <w:sz w:val="24"/>
                <w:szCs w:val="24"/>
              </w:rPr>
              <w:t>Defining complex terms, analysing scenarios, comparing free and hateful speech, producing counter-speech, evaluating sources and writing a balanced argument.</w:t>
            </w:r>
          </w:p>
        </w:tc>
      </w:tr>
    </w:tbl>
    <w:p w14:paraId="15EF627F" w14:textId="77777777" w:rsidR="00B71D32" w:rsidRPr="000F7ED4" w:rsidRDefault="004067D8">
      <w:pPr>
        <w:pStyle w:val="Heading1"/>
        <w:rPr>
          <w:rFonts w:cstheme="majorHAnsi"/>
          <w:sz w:val="24"/>
          <w:szCs w:val="24"/>
        </w:rPr>
      </w:pPr>
      <w:r w:rsidRPr="000F7ED4">
        <w:rPr>
          <w:rFonts w:cstheme="majorHAnsi"/>
          <w:sz w:val="24"/>
          <w:szCs w:val="24"/>
        </w:rPr>
        <w:t>7. SAFEGUARDING, INCLUSION AND DELIVERY NOTES</w:t>
      </w:r>
    </w:p>
    <w:p w14:paraId="1BA26FFD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Revisit PSHE ground rules and distancing techniques before content on hate, radicalisation, blackmail, sexualised material, misogyny, mental health or harmful relationships with technology.</w:t>
      </w:r>
    </w:p>
    <w:p w14:paraId="41AF0C2F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Do not display unfiltered extremist, hateful, fraudulent or misogynistic content. Use approved extracts and follow school filtering, Prevent and safeguarding procedures.</w:t>
      </w:r>
    </w:p>
    <w:p w14:paraId="737347A7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Make immediate reporting routes clear for blackmail, threats, sexual coercion, fraud, hate incidents, radicalisation concerns or unsafe AI advice.</w:t>
      </w:r>
    </w:p>
    <w:p w14:paraId="2890D70B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Teach pupils to preserve evidence, stop contact where safe, avoid payment or further sharing, and involve a trusted adult or relevant service rather than handling blackmail alone.</w:t>
      </w:r>
    </w:p>
    <w:p w14:paraId="579680C2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Treat chatbot health or mental-health advice as unverified and reinforce that pupils should consult qualified professionals and trusted adults.</w:t>
      </w:r>
    </w:p>
    <w:p w14:paraId="43D6826B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Avoid reinforcing harmful stereotypes when teaching masculinity and misogyny. Include varied, positive models of masculinity and respectful relationships.</w:t>
      </w:r>
    </w:p>
    <w:p w14:paraId="17562AF3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Check all external links, support details, survey instructions, work-experience dates and school reporting procedures before delivery.</w:t>
      </w:r>
    </w:p>
    <w:p w14:paraId="5FBA6B37" w14:textId="77777777" w:rsidR="00B71D32" w:rsidRPr="000F7ED4" w:rsidRDefault="004067D8">
      <w:pPr>
        <w:pStyle w:val="Heading1"/>
        <w:rPr>
          <w:rFonts w:cstheme="majorHAnsi"/>
          <w:sz w:val="24"/>
          <w:szCs w:val="24"/>
        </w:rPr>
      </w:pPr>
      <w:r w:rsidRPr="000F7ED4">
        <w:rPr>
          <w:rFonts w:cstheme="majorHAnsi"/>
          <w:sz w:val="24"/>
          <w:szCs w:val="24"/>
        </w:rPr>
        <w:lastRenderedPageBreak/>
        <w:t>8. LEARNING WALK LOOK-FORS</w:t>
      </w:r>
    </w:p>
    <w:p w14:paraId="0DB00D00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Pupils can identify the online risk or influence being studied and explain its possible impact.</w:t>
      </w:r>
    </w:p>
    <w:p w14:paraId="35EF81AE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Pupils use digital-safety, extremism, fraud and media-literacy vocabulary accurately.</w:t>
      </w:r>
    </w:p>
    <w:p w14:paraId="404ED165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Responses move beyond “block and report” to include evidence, trusted support, platform action and appropriate professional help.</w:t>
      </w:r>
    </w:p>
    <w:p w14:paraId="2AC3D9B9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Discussion challenges hateful or misogynistic ideas without repeating or normalising harmful content.</w:t>
      </w:r>
    </w:p>
    <w:p w14:paraId="3684535E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Booklets and digital products show progression from recognition to evaluation and safe action.</w:t>
      </w:r>
    </w:p>
    <w:p w14:paraId="0D7F09BB" w14:textId="77777777" w:rsidR="00B71D32" w:rsidRPr="000F7ED4" w:rsidRDefault="004067D8">
      <w:pPr>
        <w:pStyle w:val="ListBullet"/>
        <w:spacing w:after="40"/>
        <w:rPr>
          <w:rFonts w:asciiTheme="majorHAnsi" w:hAnsiTheme="majorHAnsi" w:cstheme="majorHAnsi"/>
          <w:sz w:val="24"/>
          <w:szCs w:val="24"/>
        </w:rPr>
      </w:pPr>
      <w:r w:rsidRPr="000F7ED4">
        <w:rPr>
          <w:rFonts w:asciiTheme="majorHAnsi" w:hAnsiTheme="majorHAnsi" w:cstheme="majorHAnsi"/>
          <w:sz w:val="24"/>
          <w:szCs w:val="24"/>
        </w:rPr>
        <w:t>Work-experience preparation shows knowledge of communication, safety, accountability and purposeful goal setting.</w:t>
      </w:r>
    </w:p>
    <w:sectPr w:rsidR="00B71D32" w:rsidRPr="000F7ED4" w:rsidSect="00034616">
      <w:footerReference w:type="default" r:id="rId8"/>
      <w:pgSz w:w="12240" w:h="15840"/>
      <w:pgMar w:top="691" w:right="835" w:bottom="691" w:left="83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18E40" w14:textId="77777777" w:rsidR="004067D8" w:rsidRDefault="004067D8">
      <w:pPr>
        <w:spacing w:after="0" w:line="240" w:lineRule="auto"/>
      </w:pPr>
      <w:r>
        <w:separator/>
      </w:r>
    </w:p>
  </w:endnote>
  <w:endnote w:type="continuationSeparator" w:id="0">
    <w:p w14:paraId="7EF7C07C" w14:textId="77777777" w:rsidR="004067D8" w:rsidRDefault="00406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D5597" w14:textId="77777777" w:rsidR="00B71D32" w:rsidRDefault="004067D8">
    <w:pPr>
      <w:pStyle w:val="Footer"/>
      <w:jc w:val="center"/>
    </w:pPr>
    <w:r>
      <w:rPr>
        <w:color w:val="123B69"/>
      </w:rPr>
      <w:t>Year 10 PSHE | Autumn Term | Living in the Wider World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519EB" w14:textId="77777777" w:rsidR="004067D8" w:rsidRDefault="004067D8">
      <w:pPr>
        <w:spacing w:after="0" w:line="240" w:lineRule="auto"/>
      </w:pPr>
      <w:r>
        <w:separator/>
      </w:r>
    </w:p>
  </w:footnote>
  <w:footnote w:type="continuationSeparator" w:id="0">
    <w:p w14:paraId="3D81339D" w14:textId="77777777" w:rsidR="004067D8" w:rsidRDefault="00406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49422709">
    <w:abstractNumId w:val="8"/>
  </w:num>
  <w:num w:numId="2" w16cid:durableId="1645961287">
    <w:abstractNumId w:val="6"/>
  </w:num>
  <w:num w:numId="3" w16cid:durableId="2113355017">
    <w:abstractNumId w:val="5"/>
  </w:num>
  <w:num w:numId="4" w16cid:durableId="494686805">
    <w:abstractNumId w:val="4"/>
  </w:num>
  <w:num w:numId="5" w16cid:durableId="1550258945">
    <w:abstractNumId w:val="7"/>
  </w:num>
  <w:num w:numId="6" w16cid:durableId="733436144">
    <w:abstractNumId w:val="3"/>
  </w:num>
  <w:num w:numId="7" w16cid:durableId="1664313214">
    <w:abstractNumId w:val="2"/>
  </w:num>
  <w:num w:numId="8" w16cid:durableId="344408690">
    <w:abstractNumId w:val="1"/>
  </w:num>
  <w:num w:numId="9" w16cid:durableId="550465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7ED4"/>
    <w:rsid w:val="0015074B"/>
    <w:rsid w:val="0029639D"/>
    <w:rsid w:val="00326F90"/>
    <w:rsid w:val="004067D8"/>
    <w:rsid w:val="009C5E9D"/>
    <w:rsid w:val="00AA1D8D"/>
    <w:rsid w:val="00B47730"/>
    <w:rsid w:val="00B71D32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D8F85B"/>
  <w14:defaultImageDpi w14:val="300"/>
  <w15:docId w15:val="{F9B988F7-EFBD-4141-9941-9EF8BE707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Aptos" w:hAnsi="Aptos"/>
      <w:color w:val="1F2D3D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/>
      <w:outlineLvl w:val="0"/>
    </w:pPr>
    <w:rPr>
      <w:rFonts w:asciiTheme="majorHAnsi" w:eastAsiaTheme="majorEastAsia" w:hAnsiTheme="majorHAnsi" w:cstheme="majorBidi"/>
      <w:b/>
      <w:bCs/>
      <w:color w:val="123B69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/>
      <w:outlineLvl w:val="1"/>
    </w:pPr>
    <w:rPr>
      <w:rFonts w:asciiTheme="majorHAnsi" w:eastAsiaTheme="majorEastAsia" w:hAnsiTheme="majorHAnsi" w:cstheme="majorBidi"/>
      <w:b/>
      <w:bCs/>
      <w:color w:val="123B69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before="140" w:line="240" w:lineRule="auto"/>
      <w:contextualSpacing/>
    </w:pPr>
    <w:rPr>
      <w:rFonts w:asciiTheme="majorHAnsi" w:eastAsiaTheme="majorEastAsia" w:hAnsiTheme="majorHAnsi" w:cstheme="majorBidi"/>
      <w:b/>
      <w:color w:val="123B69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140"/>
    </w:pPr>
    <w:rPr>
      <w:rFonts w:asciiTheme="majorHAnsi" w:eastAsiaTheme="majorEastAsia" w:hAnsiTheme="majorHAnsi" w:cstheme="majorBidi"/>
      <w:b/>
      <w:i/>
      <w:iCs/>
      <w:color w:val="123B69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1554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10 PSHE Curriculum Overview - Autumn Term: Living in the Wider World</dc:title>
  <dc:subject/>
  <dc:creator>python-docx</dc:creator>
  <cp:keywords/>
  <dc:description>generated by python-docx</dc:description>
  <cp:lastModifiedBy>Becky Smith</cp:lastModifiedBy>
  <cp:revision>2</cp:revision>
  <dcterms:created xsi:type="dcterms:W3CDTF">2026-09-14T13:19:00Z</dcterms:created>
  <dcterms:modified xsi:type="dcterms:W3CDTF">2026-09-14T13:19:00Z</dcterms:modified>
  <cp:category/>
</cp:coreProperties>
</file>