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85"/>
        <w:gridCol w:w="5285"/>
      </w:tblGrid>
      <w:tr w:rsidR="005C1209" w14:paraId="1491B070" w14:textId="77777777">
        <w:trPr>
          <w:cantSplit/>
        </w:trPr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26B8A77" w14:textId="77777777" w:rsidR="005C1209" w:rsidRDefault="00C6572B">
            <w:pPr>
              <w:spacing w:after="0" w:line="240" w:lineRule="auto"/>
            </w:pPr>
            <w:r>
              <w:rPr>
                <w:b/>
                <w:color w:val="FFFFFF"/>
                <w:sz w:val="36"/>
              </w:rPr>
              <w:t>YEAR 9 PSHE CURRICULUM OVERVIEW</w:t>
            </w:r>
          </w:p>
        </w:tc>
        <w:tc>
          <w:tcPr>
            <w:tcW w:w="5285" w:type="dxa"/>
            <w:shd w:val="clear" w:color="auto" w:fill="F4C54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2ABD186" w14:textId="77777777" w:rsidR="005C1209" w:rsidRDefault="00C6572B">
            <w:pPr>
              <w:spacing w:after="0" w:line="240" w:lineRule="auto"/>
              <w:jc w:val="center"/>
            </w:pPr>
            <w:r>
              <w:rPr>
                <w:b/>
                <w:color w:val="123B69"/>
                <w:sz w:val="20"/>
              </w:rPr>
              <w:t>AUT</w:t>
            </w:r>
          </w:p>
        </w:tc>
      </w:tr>
    </w:tbl>
    <w:p w14:paraId="342A795B" w14:textId="77777777" w:rsidR="005C1209" w:rsidRPr="00BD0A01" w:rsidRDefault="00C6572B">
      <w:pPr>
        <w:pStyle w:val="Subtitle"/>
        <w:rPr>
          <w:rFonts w:cstheme="majorHAnsi"/>
        </w:rPr>
      </w:pPr>
      <w:r w:rsidRPr="00BD0A01">
        <w:rPr>
          <w:rFonts w:cstheme="majorHAnsi"/>
        </w:rPr>
        <w:t>AUTUMN TERM: LIVING IN THE WIDER WORLD</w:t>
      </w:r>
    </w:p>
    <w:p w14:paraId="5C7E592B" w14:textId="77777777" w:rsidR="005C1209" w:rsidRPr="00BD0A01" w:rsidRDefault="00C6572B">
      <w:pPr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b/>
          <w:sz w:val="24"/>
          <w:szCs w:val="24"/>
        </w:rPr>
        <w:t xml:space="preserve">Curriculum purpose: </w:t>
      </w:r>
      <w:r w:rsidRPr="00BD0A01">
        <w:rPr>
          <w:rFonts w:asciiTheme="majorHAnsi" w:hAnsiTheme="majorHAnsi" w:cstheme="majorHAnsi"/>
          <w:sz w:val="24"/>
          <w:szCs w:val="24"/>
        </w:rPr>
        <w:t>To prepare pupils for fair and responsible participation in working and economic life by developing their understanding of workplace equality, career research, employment, money, consumer choices and gambling risk.</w:t>
      </w:r>
    </w:p>
    <w:p w14:paraId="762FC0E7" w14:textId="77777777" w:rsidR="005C1209" w:rsidRPr="00BD0A01" w:rsidRDefault="00C6572B">
      <w:pPr>
        <w:pStyle w:val="Heading1"/>
        <w:rPr>
          <w:rFonts w:cstheme="majorHAnsi"/>
          <w:sz w:val="24"/>
          <w:szCs w:val="24"/>
        </w:rPr>
      </w:pPr>
      <w:r w:rsidRPr="00BD0A01">
        <w:rPr>
          <w:rFonts w:cstheme="majorHAnsi"/>
          <w:sz w:val="24"/>
          <w:szCs w:val="24"/>
        </w:rPr>
        <w:t>1. CURRICULUM INTENT</w:t>
      </w:r>
    </w:p>
    <w:p w14:paraId="2108488B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Explain how identity, assumptions and prejudice can lead to discrimination in recruitment and employment.</w:t>
      </w:r>
    </w:p>
    <w:p w14:paraId="55D3C241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Develop practical understanding of the Equality Act 2010, protected characteristics and inclusive workplace behaviour.</w:t>
      </w:r>
    </w:p>
    <w:p w14:paraId="37D01593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Build careers research skills through Unifrog employer and career profiles, including labour market information.</w:t>
      </w:r>
    </w:p>
    <w:p w14:paraId="44D879B3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Help pupils compare the rewards and challenges of employment and understand the rights of young workers.</w:t>
      </w:r>
    </w:p>
    <w:p w14:paraId="3FC1A4F0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Introduce gross pay, deductions, taxation, National Insurance and budgeting as foundations for financial decision-making.</w:t>
      </w:r>
    </w:p>
    <w:p w14:paraId="02E16E06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Develop self-discipline and critical thinking about gambling, advertising and consumer choices.</w:t>
      </w:r>
    </w:p>
    <w:p w14:paraId="1D467FB3" w14:textId="77777777" w:rsidR="005C1209" w:rsidRPr="00BD0A01" w:rsidRDefault="00C6572B">
      <w:pPr>
        <w:pStyle w:val="Heading1"/>
        <w:rPr>
          <w:rFonts w:cstheme="majorHAnsi"/>
          <w:sz w:val="24"/>
          <w:szCs w:val="24"/>
        </w:rPr>
      </w:pPr>
      <w:r w:rsidRPr="00BD0A01">
        <w:rPr>
          <w:rFonts w:cstheme="majorHAnsi"/>
          <w:sz w:val="24"/>
          <w:szCs w:val="24"/>
        </w:rPr>
        <w:t>2. AUTUMN TERM CURRICULUM SEQUENCE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788"/>
        <w:gridCol w:w="1787"/>
        <w:gridCol w:w="2581"/>
        <w:gridCol w:w="2617"/>
        <w:gridCol w:w="1787"/>
      </w:tblGrid>
      <w:tr w:rsidR="005C1209" w:rsidRPr="00BD0A01" w14:paraId="6955F508" w14:textId="77777777" w:rsidTr="00BD0A01">
        <w:trPr>
          <w:cantSplit/>
          <w:tblHeader/>
          <w:jc w:val="center"/>
        </w:trPr>
        <w:tc>
          <w:tcPr>
            <w:tcW w:w="846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49DAD41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#</w:t>
            </w:r>
          </w:p>
        </w:tc>
        <w:tc>
          <w:tcPr>
            <w:tcW w:w="846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00C5C13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Lesson focus</w:t>
            </w:r>
          </w:p>
        </w:tc>
        <w:tc>
          <w:tcPr>
            <w:tcW w:w="1222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53506FE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Core knowledge and understanding</w:t>
            </w:r>
          </w:p>
        </w:tc>
        <w:tc>
          <w:tcPr>
            <w:tcW w:w="1239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E59F9B1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Learning experiences</w:t>
            </w:r>
          </w:p>
        </w:tc>
        <w:tc>
          <w:tcPr>
            <w:tcW w:w="846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CCCD6B6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Evidence / assessment</w:t>
            </w:r>
          </w:p>
        </w:tc>
      </w:tr>
      <w:tr w:rsidR="005C1209" w:rsidRPr="00BD0A01" w14:paraId="5ACCF4BE" w14:textId="77777777" w:rsidTr="00BD0A01">
        <w:trPr>
          <w:cantSplit/>
          <w:jc w:val="center"/>
        </w:trPr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1A629D8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EA0198F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Equality in the workplace</w:t>
            </w:r>
          </w:p>
        </w:tc>
        <w:tc>
          <w:tcPr>
            <w:tcW w:w="1222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F0177D6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Identity includes characteristics, experiences, interests and beliefs. Prejudice can influence judgement and lead to unfair workplace discrimination.</w:t>
            </w:r>
          </w:p>
        </w:tc>
        <w:tc>
          <w:tcPr>
            <w:tcW w:w="1239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65F345E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Explore identity and social identity; take part in a staged recruitment activity; reflect on how limited information and assumptions influence hiring decisions.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D68DC02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Identity profile, recruitment choices and explanation of how prejudice can become discrimination.</w:t>
            </w:r>
          </w:p>
        </w:tc>
      </w:tr>
      <w:tr w:rsidR="005C1209" w:rsidRPr="00BD0A01" w14:paraId="0001EAF0" w14:textId="77777777" w:rsidTr="00BD0A01">
        <w:trPr>
          <w:cantSplit/>
          <w:jc w:val="center"/>
        </w:trPr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3D609D3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5438D3D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Equality Act 2010</w:t>
            </w:r>
          </w:p>
        </w:tc>
        <w:tc>
          <w:tcPr>
            <w:tcW w:w="1222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B8E2FBB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The Equality Act 2010 protects people from discrimination linked to protected characteristics. Employers use policies and organisational values to promote fair treatment.</w:t>
            </w:r>
          </w:p>
        </w:tc>
        <w:tc>
          <w:tcPr>
            <w:tcW w:w="1239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8C9F938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Identify discrimination in situations; explore the Act and its protected areas; create a pictogram; select workplace values that support equality.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76A9C7A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Protected-characteristics poster, scenario responses and justification of chosen values.</w:t>
            </w:r>
          </w:p>
        </w:tc>
      </w:tr>
      <w:tr w:rsidR="005C1209" w:rsidRPr="00BD0A01" w14:paraId="6C14AB12" w14:textId="77777777" w:rsidTr="00BD0A01">
        <w:trPr>
          <w:cantSplit/>
          <w:jc w:val="center"/>
        </w:trPr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49E9AE7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3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3A98615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Exploring employer profiles</w:t>
            </w:r>
          </w:p>
        </w:tc>
        <w:tc>
          <w:tcPr>
            <w:tcW w:w="1222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989A621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Employer research helps pupils understand workplace culture, opportunities and expectations. High-quality employers value skills, experience and fair working practices.</w:t>
            </w:r>
          </w:p>
        </w:tc>
        <w:tc>
          <w:tcPr>
            <w:tcW w:w="1239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0B6F2F2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Use the Unifrog Uni and Employer library; compare employer profiles; identify valued skills and experiences; favourite an employer for later review.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592CED0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Completed profile research and examples of features associated with a good employer.</w:t>
            </w:r>
          </w:p>
        </w:tc>
      </w:tr>
      <w:tr w:rsidR="005C1209" w:rsidRPr="00BD0A01" w14:paraId="206B9067" w14:textId="77777777" w:rsidTr="00BD0A01">
        <w:trPr>
          <w:cantSplit/>
          <w:jc w:val="center"/>
        </w:trPr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FF3CF00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7591E85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Challenges and rewards of work</w:t>
            </w:r>
          </w:p>
        </w:tc>
        <w:tc>
          <w:tcPr>
            <w:tcW w:w="1222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0F4C755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Every career brings benefits and difficulties. Working hours, environment, entry requirements, progression and labour market information help people judge suitability.</w:t>
            </w:r>
          </w:p>
        </w:tc>
        <w:tc>
          <w:tcPr>
            <w:tcW w:w="1239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98FDAD3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Compare school and work; use Unifrog to research a career; identify at least one challenge and reward; discuss youth employment; create a career poster.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ECAAD69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Career profile notes and an information poster presenting balanced advantages and challenges.</w:t>
            </w:r>
          </w:p>
        </w:tc>
      </w:tr>
      <w:tr w:rsidR="005C1209" w:rsidRPr="00BD0A01" w14:paraId="64201765" w14:textId="77777777" w:rsidTr="00BD0A01">
        <w:trPr>
          <w:cantSplit/>
          <w:jc w:val="center"/>
        </w:trPr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98F918A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3CF37F7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Working, earning and budgeting</w:t>
            </w:r>
          </w:p>
        </w:tc>
        <w:tc>
          <w:tcPr>
            <w:tcW w:w="1222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FA300F4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Pay differs by role and age. Earnings may include deductions such as Income Tax, National Insurance and pensions. Budgets balance income, needs, wants and saving.</w:t>
            </w:r>
          </w:p>
        </w:tc>
        <w:tc>
          <w:tcPr>
            <w:tcW w:w="1239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B688527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Research current minimum wages; use career salary data; calculate weekly, monthly and taxable income; explore youth employment rights; apply the 50:30:20 budgeting model.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3C91464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Calculations, employment-rights quiz, scenario analysis and example budget.</w:t>
            </w:r>
          </w:p>
        </w:tc>
      </w:tr>
      <w:tr w:rsidR="005C1209" w:rsidRPr="00BD0A01" w14:paraId="1A958079" w14:textId="77777777" w:rsidTr="00BD0A01">
        <w:trPr>
          <w:cantSplit/>
          <w:jc w:val="center"/>
        </w:trPr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E2E5A14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4289AF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Ethical consumerism</w:t>
            </w:r>
          </w:p>
        </w:tc>
        <w:tc>
          <w:tcPr>
            <w:tcW w:w="1222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AA8BEEF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Consumer choices affect workers, communities, animals, local businesses and the environment. Responsibility can sit across governments, companies, producers and buyers.</w:t>
            </w:r>
          </w:p>
        </w:tc>
        <w:tc>
          <w:tcPr>
            <w:tcW w:w="1239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6B1D827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 xml:space="preserve">Define consumerism; examine child labour and shared responsibility; research </w:t>
            </w:r>
            <w:proofErr w:type="gramStart"/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an ethical issue</w:t>
            </w:r>
            <w:proofErr w:type="gramEnd"/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; prepare and deliver a two-minute group presentation with a proposed solution.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FBE176C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Research notes, group presentation and reflection linking consumer choices to citizenship.</w:t>
            </w:r>
          </w:p>
        </w:tc>
      </w:tr>
      <w:tr w:rsidR="005C1209" w:rsidRPr="00BD0A01" w14:paraId="7F50B8A3" w14:textId="77777777" w:rsidTr="00BD0A01">
        <w:trPr>
          <w:cantSplit/>
          <w:jc w:val="center"/>
        </w:trPr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46E6D8F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7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B6DEB5A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Gambling risk and self-discipline</w:t>
            </w:r>
          </w:p>
        </w:tc>
        <w:tc>
          <w:tcPr>
            <w:tcW w:w="1222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2EAC4D2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Gambling involves financial and psychological risk. Early exposure, family influence, rapid rewards and emotional pressures can increase vulnerability to problem gambling.</w:t>
            </w:r>
          </w:p>
        </w:tc>
        <w:tc>
          <w:tcPr>
            <w:tcW w:w="1239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8D8010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Complete an attitudes questionnaire; examine motives and consequences; create a warning-sign advert; respond to a case study with practical advice and support routes.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6769C23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Risk assessment, awareness advert, advice response and final unit evaluation.</w:t>
            </w:r>
          </w:p>
        </w:tc>
      </w:tr>
    </w:tbl>
    <w:p w14:paraId="56C841D2" w14:textId="77777777" w:rsidR="005C1209" w:rsidRPr="00BD0A01" w:rsidRDefault="00C6572B">
      <w:pPr>
        <w:pStyle w:val="Heading1"/>
        <w:rPr>
          <w:rFonts w:cstheme="majorHAnsi"/>
          <w:sz w:val="24"/>
          <w:szCs w:val="24"/>
        </w:rPr>
      </w:pPr>
      <w:r w:rsidRPr="00BD0A01">
        <w:rPr>
          <w:rFonts w:cstheme="majorHAnsi"/>
          <w:sz w:val="24"/>
          <w:szCs w:val="24"/>
        </w:rPr>
        <w:t>3. END-OF-UNIT KNOWLEDGE AND SKILLS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80"/>
        <w:gridCol w:w="5280"/>
      </w:tblGrid>
      <w:tr w:rsidR="005C1209" w:rsidRPr="00BD0A01" w14:paraId="097A8EDA" w14:textId="77777777">
        <w:trPr>
          <w:cantSplit/>
          <w:jc w:val="center"/>
        </w:trPr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B91F1D3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Pupils should know</w:t>
            </w:r>
          </w:p>
        </w:tc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8F71202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Pupils should be able to</w:t>
            </w:r>
          </w:p>
        </w:tc>
      </w:tr>
      <w:tr w:rsidR="005C1209" w:rsidRPr="00BD0A01" w14:paraId="66E1FB2F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DC6F68B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• how identity, prejudice and discrimination connect in workplace decisions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4ED18ED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• recognise unfair assumptions and recommend inclusive workplace behaviour</w:t>
            </w:r>
          </w:p>
        </w:tc>
      </w:tr>
      <w:tr w:rsidR="005C1209" w:rsidRPr="00BD0A01" w14:paraId="351F50E7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66E3808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• the purpose of the Equality Act 2010 and the role of protected characteristics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D684B58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• apply equality principles to scenarios and explain why organisational values matter</w:t>
            </w:r>
          </w:p>
        </w:tc>
      </w:tr>
      <w:tr w:rsidR="005C1209" w:rsidRPr="00BD0A01" w14:paraId="6B7A358A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D6F70E8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• how employer profiles and career information support informed choices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74B3699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• research employers and careers using Unifrog and labour market information</w:t>
            </w:r>
          </w:p>
        </w:tc>
      </w:tr>
      <w:tr w:rsidR="005C1209" w:rsidRPr="00BD0A01" w14:paraId="7B584502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A64E48C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• the main challenges, rewards and rights associated with employment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BA09A9D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• present a balanced view of a career using relevant evidence</w:t>
            </w:r>
          </w:p>
        </w:tc>
      </w:tr>
      <w:tr w:rsidR="005C1209" w:rsidRPr="00BD0A01" w14:paraId="2C22C456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45C64FA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• the difference between gross pay and take-home pay, including common deductions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79A790D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• complete basic pay calculations and create a workable personal budget</w:t>
            </w:r>
          </w:p>
        </w:tc>
      </w:tr>
      <w:tr w:rsidR="005C1209" w:rsidRPr="00BD0A01" w14:paraId="1DCB1AEB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CD2DE33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• how budgeting can separate needs, wants and savings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0A324E4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• evaluate responsibility within an ethical consumer issue and propose a response</w:t>
            </w:r>
          </w:p>
        </w:tc>
      </w:tr>
      <w:tr w:rsidR="005C1209" w:rsidRPr="00BD0A01" w14:paraId="524CB506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D465EB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• how consumerism and gambling can affect individuals and wider society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65692DB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• assess gambling risks, recognise warning signs and signpost appropriate support</w:t>
            </w:r>
          </w:p>
        </w:tc>
      </w:tr>
    </w:tbl>
    <w:p w14:paraId="63C97C5F" w14:textId="77777777" w:rsidR="005C1209" w:rsidRPr="00BD0A01" w:rsidRDefault="00C6572B">
      <w:pPr>
        <w:pStyle w:val="Heading1"/>
        <w:rPr>
          <w:rFonts w:cstheme="majorHAnsi"/>
          <w:sz w:val="24"/>
          <w:szCs w:val="24"/>
        </w:rPr>
      </w:pPr>
      <w:r w:rsidRPr="00BD0A01">
        <w:rPr>
          <w:rFonts w:cstheme="majorHAnsi"/>
          <w:sz w:val="24"/>
          <w:szCs w:val="24"/>
        </w:rPr>
        <w:t>4. ASSESSMENT AND EVIDENCE OF PROGRESS</w:t>
      </w:r>
    </w:p>
    <w:p w14:paraId="43B53682" w14:textId="77777777" w:rsidR="005C1209" w:rsidRPr="00BD0A01" w:rsidRDefault="00C6572B">
      <w:pPr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Assessment is formative and uses booklet work, questioning, calculations, careers research, presentations and end-of-unit reflection. Progress becomes visible when pupils move from defining workplace and financial concepts to applying them in scenarios and justifying informed choices.</w:t>
      </w:r>
    </w:p>
    <w:p w14:paraId="19F8E595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Baseline and retrieval: identity, discrimination, protected characteristics, work and money vocabulary.</w:t>
      </w:r>
    </w:p>
    <w:p w14:paraId="7C8C3C1F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Application: recruitment decisions, equality scenarios, youth employment case studies and pay calculations.</w:t>
      </w:r>
    </w:p>
    <w:p w14:paraId="2AEB7DE7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Research and communication: employer profile notes, career poster and ethical-consumerism presentation.</w:t>
      </w:r>
    </w:p>
    <w:p w14:paraId="2749DE83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End point: gambling advice response and the Living in the Wider World evaluation.</w:t>
      </w:r>
    </w:p>
    <w:p w14:paraId="57EA0807" w14:textId="77777777" w:rsidR="005C1209" w:rsidRPr="00BD0A01" w:rsidRDefault="00C6572B">
      <w:pPr>
        <w:pStyle w:val="Heading1"/>
        <w:rPr>
          <w:rFonts w:cstheme="majorHAnsi"/>
          <w:sz w:val="24"/>
          <w:szCs w:val="24"/>
        </w:rPr>
      </w:pPr>
      <w:r w:rsidRPr="00BD0A01">
        <w:rPr>
          <w:rFonts w:cstheme="majorHAnsi"/>
          <w:sz w:val="24"/>
          <w:szCs w:val="24"/>
        </w:rPr>
        <w:lastRenderedPageBreak/>
        <w:t>5. KEY VOCABULARY</w:t>
      </w:r>
    </w:p>
    <w:p w14:paraId="4842D679" w14:textId="77777777" w:rsidR="005C1209" w:rsidRDefault="00C6572B">
      <w:pPr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identity • social identity • assumption • prejudice • discrimination • equality • inclusion • Equality Act 2010 • protected characteristic • employer • organisational values • recruitment • career profile • employer profile • skills • experience • reward • challenge • youth employment • labour market information • minimum wage • salary • gross pay • deduction • Income Tax • National Insurance • pension • budget • expenditure • needs • wants • savings • consumerism • ethical consumer • child labour • gamblin</w:t>
      </w:r>
      <w:r w:rsidRPr="00BD0A01">
        <w:rPr>
          <w:rFonts w:asciiTheme="majorHAnsi" w:hAnsiTheme="majorHAnsi" w:cstheme="majorHAnsi"/>
          <w:sz w:val="24"/>
          <w:szCs w:val="24"/>
        </w:rPr>
        <w:t>g • probability • risk • addiction • self-discipline</w:t>
      </w:r>
    </w:p>
    <w:p w14:paraId="273212CC" w14:textId="77777777" w:rsidR="00BD0A01" w:rsidRPr="00BD0A01" w:rsidRDefault="00BD0A01">
      <w:pPr>
        <w:rPr>
          <w:rFonts w:asciiTheme="majorHAnsi" w:hAnsiTheme="majorHAnsi" w:cstheme="majorHAnsi"/>
          <w:sz w:val="24"/>
          <w:szCs w:val="24"/>
        </w:rPr>
      </w:pPr>
    </w:p>
    <w:p w14:paraId="472AC94E" w14:textId="77777777" w:rsidR="005C1209" w:rsidRPr="00BD0A01" w:rsidRDefault="00C6572B">
      <w:pPr>
        <w:pStyle w:val="Heading1"/>
        <w:rPr>
          <w:rFonts w:cstheme="majorHAnsi"/>
          <w:sz w:val="24"/>
          <w:szCs w:val="24"/>
        </w:rPr>
      </w:pPr>
      <w:r w:rsidRPr="00BD0A01">
        <w:rPr>
          <w:rFonts w:cstheme="majorHAnsi"/>
          <w:sz w:val="24"/>
          <w:szCs w:val="24"/>
        </w:rPr>
        <w:t>6. CHARACTER, SMSC AND WIDER CURRICULUM LINKS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80"/>
        <w:gridCol w:w="5280"/>
      </w:tblGrid>
      <w:tr w:rsidR="005C1209" w:rsidRPr="00BD0A01" w14:paraId="7903168E" w14:textId="77777777">
        <w:trPr>
          <w:cantSplit/>
          <w:jc w:val="center"/>
        </w:trPr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F799E03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Area</w:t>
            </w:r>
          </w:p>
        </w:tc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7AFA96B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How the unit develops it</w:t>
            </w:r>
          </w:p>
        </w:tc>
      </w:tr>
      <w:tr w:rsidR="005C1209" w:rsidRPr="00BD0A01" w14:paraId="72BE0CE1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68537A1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Character virtues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FB3E0A6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Inclusion through fair recruitment and workplace behaviour; empathy and justice through equality; citizenship through ethical consumption; self-discipline through budgeting and gambling-risk education.</w:t>
            </w:r>
          </w:p>
        </w:tc>
      </w:tr>
      <w:tr w:rsidR="005C1209" w:rsidRPr="00BD0A01" w14:paraId="190F124F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0010602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SMSC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2502E5A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Reflection on identity and aspiration; moral reasoning about fairness and exploitation; collaborative careers research; awareness of global production and diverse working lives.</w:t>
            </w:r>
          </w:p>
        </w:tc>
      </w:tr>
      <w:tr w:rsidR="005C1209" w:rsidRPr="00BD0A01" w14:paraId="050527BE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23E1958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Careers education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35F2B18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Employer and career profiles, valued skills, workplace culture, challenges and rewards, youth employment, salary information and labour market research.</w:t>
            </w:r>
          </w:p>
        </w:tc>
      </w:tr>
      <w:tr w:rsidR="005C1209" w:rsidRPr="00BD0A01" w14:paraId="62180769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1D24657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Financial education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AE158C9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Minimum wages, gross and net income, deductions, tax, National Insurance, budgeting</w:t>
            </w:r>
            <w:proofErr w:type="gramStart"/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, spending</w:t>
            </w:r>
            <w:proofErr w:type="gramEnd"/>
            <w:r w:rsidRPr="00BD0A01">
              <w:rPr>
                <w:rFonts w:asciiTheme="majorHAnsi" w:hAnsiTheme="majorHAnsi" w:cstheme="majorHAnsi"/>
                <w:sz w:val="24"/>
                <w:szCs w:val="24"/>
              </w:rPr>
              <w:t xml:space="preserve"> choices, saving and gambling-related harm.</w:t>
            </w:r>
          </w:p>
        </w:tc>
      </w:tr>
      <w:tr w:rsidR="005C1209" w:rsidRPr="00BD0A01" w14:paraId="2ADF1CEE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EE132AB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Citizenship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06196B3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Equality law, employee rights, responsible organisations, global supply chains, child labour and the influence of consumers.</w:t>
            </w:r>
          </w:p>
        </w:tc>
      </w:tr>
      <w:tr w:rsidR="005C1209" w:rsidRPr="00BD0A01" w14:paraId="5D8E3C38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C65B060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Literacy, numeracy and oracy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42C2B83" w14:textId="77777777" w:rsidR="005C1209" w:rsidRPr="00BD0A01" w:rsidRDefault="00C6572B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BD0A01">
              <w:rPr>
                <w:rFonts w:asciiTheme="majorHAnsi" w:hAnsiTheme="majorHAnsi" w:cstheme="majorHAnsi"/>
                <w:sz w:val="24"/>
                <w:szCs w:val="24"/>
              </w:rPr>
              <w:t>Reading workplace scenarios, explaining decisions, interpreting career information, calculating pay, creating budgets and presenting research.</w:t>
            </w:r>
          </w:p>
        </w:tc>
      </w:tr>
    </w:tbl>
    <w:p w14:paraId="34A92575" w14:textId="77777777" w:rsidR="005C1209" w:rsidRPr="00BD0A01" w:rsidRDefault="00C6572B">
      <w:pPr>
        <w:pStyle w:val="Heading1"/>
        <w:rPr>
          <w:rFonts w:cstheme="majorHAnsi"/>
          <w:sz w:val="24"/>
          <w:szCs w:val="24"/>
        </w:rPr>
      </w:pPr>
      <w:r w:rsidRPr="00BD0A01">
        <w:rPr>
          <w:rFonts w:cstheme="majorHAnsi"/>
          <w:sz w:val="24"/>
          <w:szCs w:val="24"/>
        </w:rPr>
        <w:t>7. SAFEGUARDING, INCLUSION AND DELIVERY NOTES</w:t>
      </w:r>
    </w:p>
    <w:p w14:paraId="580ECFAC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Revisit PSHE ground rules before discussion of identity, discrimination, financial difficulty, addiction or family experiences. Pupils should not feel required to disclose personal information.</w:t>
      </w:r>
    </w:p>
    <w:p w14:paraId="4B41CEFA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Challenge workplace stereotypes and discriminatory language promptly, using the school behaviour and safeguarding procedures where appropriate.</w:t>
      </w:r>
    </w:p>
    <w:p w14:paraId="36AE3053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Use hypothetical examples for money activities so pupils do not reveal family income, debt, benefits or financial hardship.</w:t>
      </w:r>
    </w:p>
    <w:p w14:paraId="5380C262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lastRenderedPageBreak/>
        <w:t>Present gambling as an age-restricted, risk-bearing activity and avoid simulations that normalise betting or reward risk-taking.</w:t>
      </w:r>
    </w:p>
    <w:p w14:paraId="0DAE0877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Make support routes explicit for worries about discrimination, employment, money or gambling, including trusted adults and relevant school staff.</w:t>
      </w:r>
    </w:p>
    <w:p w14:paraId="68876F0E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Provide calculators, worked examples, vocabulary support and structured templates for pupils who need help with financial calculations or extended research.</w:t>
      </w:r>
    </w:p>
    <w:p w14:paraId="2EBC6446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Check current minimum wage rates, tax thresholds, National Insurance rules, employment law and support information before teaching.</w:t>
      </w:r>
    </w:p>
    <w:p w14:paraId="0C5F9265" w14:textId="77777777" w:rsidR="005C1209" w:rsidRPr="00BD0A01" w:rsidRDefault="00C6572B">
      <w:pPr>
        <w:pStyle w:val="Heading1"/>
        <w:rPr>
          <w:rFonts w:cstheme="majorHAnsi"/>
          <w:sz w:val="24"/>
          <w:szCs w:val="24"/>
        </w:rPr>
      </w:pPr>
      <w:r w:rsidRPr="00BD0A01">
        <w:rPr>
          <w:rFonts w:cstheme="majorHAnsi"/>
          <w:sz w:val="24"/>
          <w:szCs w:val="24"/>
        </w:rPr>
        <w:t>8. LEARNING WALK LOOK-FORS</w:t>
      </w:r>
    </w:p>
    <w:p w14:paraId="497FF2AD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Pupils can explain how the current lesson connects to employment, money or responsible participation in wider society.</w:t>
      </w:r>
    </w:p>
    <w:p w14:paraId="4C8DA359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Pupils use equality, careers and financial vocabulary accurately and support decisions with evidence.</w:t>
      </w:r>
    </w:p>
    <w:p w14:paraId="70C078A0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Careers research moves beyond job titles to include employers, skills, working conditions, salary and labour market information.</w:t>
      </w:r>
    </w:p>
    <w:p w14:paraId="22E09687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Booklets and digital work show progression from knowledge to calculations, application and reflection.</w:t>
      </w:r>
    </w:p>
    <w:p w14:paraId="1CFB6B06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Pupils recognise discrimination, financial risk and gambling warning signs and know where to seek help.</w:t>
      </w:r>
    </w:p>
    <w:p w14:paraId="74457E92" w14:textId="77777777" w:rsidR="005C1209" w:rsidRPr="00BD0A01" w:rsidRDefault="00C6572B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BD0A01">
        <w:rPr>
          <w:rFonts w:asciiTheme="majorHAnsi" w:hAnsiTheme="majorHAnsi" w:cstheme="majorHAnsi"/>
          <w:sz w:val="24"/>
          <w:szCs w:val="24"/>
        </w:rPr>
        <w:t>Teaching makes explicit links to inclusion, citizenship, self-discipline and informed future choices.</w:t>
      </w:r>
    </w:p>
    <w:sectPr w:rsidR="005C1209" w:rsidRPr="00BD0A01" w:rsidSect="00034616">
      <w:footerReference w:type="default" r:id="rId8"/>
      <w:pgSz w:w="12240" w:h="15840"/>
      <w:pgMar w:top="720" w:right="835" w:bottom="720" w:left="83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43F68" w14:textId="77777777" w:rsidR="00C6572B" w:rsidRDefault="00C6572B">
      <w:pPr>
        <w:spacing w:after="0" w:line="240" w:lineRule="auto"/>
      </w:pPr>
      <w:r>
        <w:separator/>
      </w:r>
    </w:p>
  </w:endnote>
  <w:endnote w:type="continuationSeparator" w:id="0">
    <w:p w14:paraId="31A227EF" w14:textId="77777777" w:rsidR="00C6572B" w:rsidRDefault="00C65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EB41A" w14:textId="77777777" w:rsidR="005C1209" w:rsidRDefault="00C6572B">
    <w:pPr>
      <w:pStyle w:val="Footer"/>
      <w:jc w:val="center"/>
    </w:pPr>
    <w:r>
      <w:rPr>
        <w:color w:val="123B69"/>
        <w:sz w:val="16"/>
      </w:rPr>
      <w:t>Year 9 PSHE | Autumn Term | Living in the Wider World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2ECEA" w14:textId="77777777" w:rsidR="00C6572B" w:rsidRDefault="00C6572B">
      <w:pPr>
        <w:spacing w:after="0" w:line="240" w:lineRule="auto"/>
      </w:pPr>
      <w:r>
        <w:separator/>
      </w:r>
    </w:p>
  </w:footnote>
  <w:footnote w:type="continuationSeparator" w:id="0">
    <w:p w14:paraId="0075E9FF" w14:textId="77777777" w:rsidR="00C6572B" w:rsidRDefault="00C657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00775022">
    <w:abstractNumId w:val="8"/>
  </w:num>
  <w:num w:numId="2" w16cid:durableId="206265106">
    <w:abstractNumId w:val="6"/>
  </w:num>
  <w:num w:numId="3" w16cid:durableId="1982343070">
    <w:abstractNumId w:val="5"/>
  </w:num>
  <w:num w:numId="4" w16cid:durableId="17706611">
    <w:abstractNumId w:val="4"/>
  </w:num>
  <w:num w:numId="5" w16cid:durableId="1461729239">
    <w:abstractNumId w:val="7"/>
  </w:num>
  <w:num w:numId="6" w16cid:durableId="809174091">
    <w:abstractNumId w:val="3"/>
  </w:num>
  <w:num w:numId="7" w16cid:durableId="1960531308">
    <w:abstractNumId w:val="2"/>
  </w:num>
  <w:num w:numId="8" w16cid:durableId="958491183">
    <w:abstractNumId w:val="1"/>
  </w:num>
  <w:num w:numId="9" w16cid:durableId="798260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15D92"/>
    <w:rsid w:val="005C1209"/>
    <w:rsid w:val="009C5E9D"/>
    <w:rsid w:val="00AA1D8D"/>
    <w:rsid w:val="00B47730"/>
    <w:rsid w:val="00BD0A01"/>
    <w:rsid w:val="00C6572B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F3AC4C"/>
  <w14:defaultImageDpi w14:val="300"/>
  <w15:docId w15:val="{F9B988F7-EFBD-4141-9941-9EF8BE707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</w:pPr>
    <w:rPr>
      <w:rFonts w:ascii="Aptos" w:hAnsi="Aptos"/>
      <w:color w:val="1F2D3D"/>
      <w:sz w:val="17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40"/>
      <w:outlineLvl w:val="0"/>
    </w:pPr>
    <w:rPr>
      <w:rFonts w:asciiTheme="majorHAnsi" w:eastAsiaTheme="majorEastAsia" w:hAnsiTheme="majorHAnsi" w:cstheme="majorBidi"/>
      <w:b/>
      <w:bCs/>
      <w:color w:val="123B69"/>
      <w:sz w:val="27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/>
      <w:outlineLvl w:val="1"/>
    </w:pPr>
    <w:rPr>
      <w:rFonts w:asciiTheme="majorHAnsi" w:eastAsiaTheme="majorEastAsia" w:hAnsiTheme="majorHAnsi" w:cstheme="majorBidi"/>
      <w:b/>
      <w:bCs/>
      <w:color w:val="123B69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before="140" w:line="240" w:lineRule="auto"/>
      <w:contextualSpacing/>
    </w:pPr>
    <w:rPr>
      <w:rFonts w:asciiTheme="majorHAnsi" w:eastAsiaTheme="majorEastAsia" w:hAnsiTheme="majorHAnsi" w:cstheme="majorBidi"/>
      <w:b/>
      <w:color w:val="123B69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before="140"/>
    </w:pPr>
    <w:rPr>
      <w:rFonts w:asciiTheme="majorHAnsi" w:eastAsiaTheme="majorEastAsia" w:hAnsiTheme="majorHAnsi" w:cstheme="majorBidi"/>
      <w:b/>
      <w:i/>
      <w:iCs/>
      <w:color w:val="123B69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1424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9522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9 PSHE Curriculum Overview - Autumn Term: Living in the Wider World</dc:title>
  <dc:subject/>
  <dc:creator>python-docx</dc:creator>
  <cp:keywords/>
  <dc:description>generated by python-docx</dc:description>
  <cp:lastModifiedBy>Becky Smith</cp:lastModifiedBy>
  <cp:revision>3</cp:revision>
  <dcterms:created xsi:type="dcterms:W3CDTF">2026-09-14T13:11:00Z</dcterms:created>
  <dcterms:modified xsi:type="dcterms:W3CDTF">2026-09-14T13:11:00Z</dcterms:modified>
  <cp:category/>
</cp:coreProperties>
</file>