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4A0" w:firstRow="1" w:lastRow="0" w:firstColumn="1" w:lastColumn="0" w:noHBand="0" w:noVBand="1"/>
      </w:tblPr>
      <w:tblGrid>
        <w:gridCol w:w="5285"/>
        <w:gridCol w:w="5285"/>
      </w:tblGrid>
      <w:tr w:rsidR="00DF340D" w14:paraId="0EC1C175" w14:textId="77777777">
        <w:trPr>
          <w:cantSplit/>
        </w:trPr>
        <w:tc>
          <w:tcPr>
            <w:tcW w:w="5285" w:type="dxa"/>
            <w:shd w:val="clear" w:color="auto" w:fill="123B69"/>
            <w:tcMar>
              <w:top w:w="90" w:type="dxa"/>
              <w:left w:w="100" w:type="dxa"/>
              <w:bottom w:w="90" w:type="dxa"/>
              <w:right w:w="100" w:type="dxa"/>
            </w:tcMar>
            <w:vAlign w:val="center"/>
          </w:tcPr>
          <w:p w14:paraId="5A01854B" w14:textId="77777777" w:rsidR="00DF340D" w:rsidRDefault="00140B70">
            <w:pPr>
              <w:spacing w:after="0" w:line="240" w:lineRule="auto"/>
            </w:pPr>
            <w:r>
              <w:rPr>
                <w:b/>
                <w:color w:val="FFFFFF"/>
                <w:sz w:val="36"/>
              </w:rPr>
              <w:t>YEAR 7 PSHE CURRICULUM OVERVIEW</w:t>
            </w:r>
          </w:p>
        </w:tc>
        <w:tc>
          <w:tcPr>
            <w:tcW w:w="5285" w:type="dxa"/>
            <w:shd w:val="clear" w:color="auto" w:fill="F4C542"/>
            <w:tcMar>
              <w:top w:w="90" w:type="dxa"/>
              <w:left w:w="100" w:type="dxa"/>
              <w:bottom w:w="90" w:type="dxa"/>
              <w:right w:w="100" w:type="dxa"/>
            </w:tcMar>
            <w:vAlign w:val="center"/>
          </w:tcPr>
          <w:p w14:paraId="07637D12" w14:textId="77777777" w:rsidR="00DF340D" w:rsidRDefault="00140B70">
            <w:pPr>
              <w:spacing w:after="0" w:line="240" w:lineRule="auto"/>
              <w:jc w:val="center"/>
            </w:pPr>
            <w:r>
              <w:rPr>
                <w:b/>
                <w:color w:val="123B69"/>
                <w:sz w:val="20"/>
              </w:rPr>
              <w:t>AUT</w:t>
            </w:r>
          </w:p>
        </w:tc>
      </w:tr>
    </w:tbl>
    <w:p w14:paraId="3A275589" w14:textId="77777777" w:rsidR="00DF340D" w:rsidRPr="009D3F72" w:rsidRDefault="00140B70">
      <w:pPr>
        <w:pStyle w:val="Subtitle"/>
        <w:rPr>
          <w:rFonts w:cstheme="majorHAnsi"/>
        </w:rPr>
      </w:pPr>
      <w:r w:rsidRPr="009D3F72">
        <w:rPr>
          <w:rFonts w:cstheme="majorHAnsi"/>
        </w:rPr>
        <w:t>AUTUMN TERM: LIVING IN THE WIDER WORLD</w:t>
      </w:r>
    </w:p>
    <w:p w14:paraId="12092CCF" w14:textId="77777777" w:rsidR="00DF340D" w:rsidRPr="009D3F72" w:rsidRDefault="00140B70">
      <w:pPr>
        <w:rPr>
          <w:rFonts w:asciiTheme="majorHAnsi" w:hAnsiTheme="majorHAnsi" w:cstheme="majorHAnsi"/>
          <w:sz w:val="24"/>
          <w:szCs w:val="24"/>
        </w:rPr>
      </w:pPr>
      <w:r w:rsidRPr="009D3F72">
        <w:rPr>
          <w:rFonts w:asciiTheme="majorHAnsi" w:hAnsiTheme="majorHAnsi" w:cstheme="majorHAnsi"/>
          <w:b/>
          <w:sz w:val="24"/>
          <w:szCs w:val="24"/>
        </w:rPr>
        <w:t xml:space="preserve">Curriculum purpose: </w:t>
      </w:r>
      <w:r w:rsidRPr="009D3F72">
        <w:rPr>
          <w:rFonts w:asciiTheme="majorHAnsi" w:hAnsiTheme="majorHAnsi" w:cstheme="majorHAnsi"/>
          <w:sz w:val="24"/>
          <w:szCs w:val="24"/>
        </w:rPr>
        <w:t>To help pupils settle confidently into secondary school, understand how rights shape life in a diverse society, recognise their responsibilities towards others and begin exploring the changing world of work.</w:t>
      </w:r>
    </w:p>
    <w:p w14:paraId="0508B1FB" w14:textId="77777777" w:rsidR="00DF340D" w:rsidRPr="009D3F72" w:rsidRDefault="00140B70">
      <w:pPr>
        <w:pStyle w:val="Heading1"/>
        <w:rPr>
          <w:rFonts w:cstheme="majorHAnsi"/>
          <w:sz w:val="24"/>
          <w:szCs w:val="24"/>
        </w:rPr>
      </w:pPr>
      <w:r w:rsidRPr="009D3F72">
        <w:rPr>
          <w:rFonts w:cstheme="majorHAnsi"/>
          <w:sz w:val="24"/>
          <w:szCs w:val="24"/>
        </w:rPr>
        <w:t>1. CURRICULUM INTENT</w:t>
      </w:r>
    </w:p>
    <w:p w14:paraId="39A0A72D" w14:textId="77777777" w:rsidR="00DF340D" w:rsidRPr="009D3F72" w:rsidRDefault="00140B70">
      <w:pPr>
        <w:pStyle w:val="ListBullet"/>
        <w:spacing w:after="40"/>
        <w:rPr>
          <w:rFonts w:asciiTheme="majorHAnsi" w:hAnsiTheme="majorHAnsi" w:cstheme="majorHAnsi"/>
          <w:sz w:val="24"/>
          <w:szCs w:val="24"/>
        </w:rPr>
      </w:pPr>
      <w:r w:rsidRPr="009D3F72">
        <w:rPr>
          <w:rFonts w:asciiTheme="majorHAnsi" w:hAnsiTheme="majorHAnsi" w:cstheme="majorHAnsi"/>
          <w:sz w:val="24"/>
          <w:szCs w:val="24"/>
        </w:rPr>
        <w:t>Build a safe classroom culture in which pupils can discuss personal and social issues respectfully.</w:t>
      </w:r>
    </w:p>
    <w:p w14:paraId="633A3DA4" w14:textId="77777777" w:rsidR="00DF340D" w:rsidRPr="009D3F72" w:rsidRDefault="00140B70">
      <w:pPr>
        <w:pStyle w:val="ListBullet"/>
        <w:spacing w:after="40"/>
        <w:rPr>
          <w:rFonts w:asciiTheme="majorHAnsi" w:hAnsiTheme="majorHAnsi" w:cstheme="majorHAnsi"/>
          <w:sz w:val="24"/>
          <w:szCs w:val="24"/>
        </w:rPr>
      </w:pPr>
      <w:r w:rsidRPr="009D3F72">
        <w:rPr>
          <w:rFonts w:asciiTheme="majorHAnsi" w:hAnsiTheme="majorHAnsi" w:cstheme="majorHAnsi"/>
          <w:sz w:val="24"/>
          <w:szCs w:val="24"/>
        </w:rPr>
        <w:t>Support transition by helping pupils name emotions, identify trusted support and use practical coping strategies.</w:t>
      </w:r>
    </w:p>
    <w:p w14:paraId="4C5BA3AE" w14:textId="77777777" w:rsidR="00DF340D" w:rsidRPr="009D3F72" w:rsidRDefault="00140B70">
      <w:pPr>
        <w:pStyle w:val="ListBullet"/>
        <w:spacing w:after="40"/>
        <w:rPr>
          <w:rFonts w:asciiTheme="majorHAnsi" w:hAnsiTheme="majorHAnsi" w:cstheme="majorHAnsi"/>
          <w:sz w:val="24"/>
          <w:szCs w:val="24"/>
        </w:rPr>
      </w:pPr>
      <w:r w:rsidRPr="009D3F72">
        <w:rPr>
          <w:rFonts w:asciiTheme="majorHAnsi" w:hAnsiTheme="majorHAnsi" w:cstheme="majorHAnsi"/>
          <w:sz w:val="24"/>
          <w:szCs w:val="24"/>
        </w:rPr>
        <w:t>Develop pupils’ understanding of bullying, including verbal, physical, indirect and online behaviours, and how to seek help.</w:t>
      </w:r>
    </w:p>
    <w:p w14:paraId="72A321A6" w14:textId="77777777" w:rsidR="00DF340D" w:rsidRPr="009D3F72" w:rsidRDefault="00140B70">
      <w:pPr>
        <w:pStyle w:val="ListBullet"/>
        <w:spacing w:after="40"/>
        <w:rPr>
          <w:rFonts w:asciiTheme="majorHAnsi" w:hAnsiTheme="majorHAnsi" w:cstheme="majorHAnsi"/>
          <w:sz w:val="24"/>
          <w:szCs w:val="24"/>
        </w:rPr>
      </w:pPr>
      <w:r w:rsidRPr="009D3F72">
        <w:rPr>
          <w:rFonts w:asciiTheme="majorHAnsi" w:hAnsiTheme="majorHAnsi" w:cstheme="majorHAnsi"/>
          <w:sz w:val="24"/>
          <w:szCs w:val="24"/>
        </w:rPr>
        <w:t>Teach that identity deserves respect and that children and adults hold universal human rights.</w:t>
      </w:r>
    </w:p>
    <w:p w14:paraId="774EDC88" w14:textId="77777777" w:rsidR="00DF340D" w:rsidRPr="009D3F72" w:rsidRDefault="00140B70">
      <w:pPr>
        <w:pStyle w:val="ListBullet"/>
        <w:spacing w:after="40"/>
        <w:rPr>
          <w:rFonts w:asciiTheme="majorHAnsi" w:hAnsiTheme="majorHAnsi" w:cstheme="majorHAnsi"/>
          <w:sz w:val="24"/>
          <w:szCs w:val="24"/>
        </w:rPr>
      </w:pPr>
      <w:r w:rsidRPr="009D3F72">
        <w:rPr>
          <w:rFonts w:asciiTheme="majorHAnsi" w:hAnsiTheme="majorHAnsi" w:cstheme="majorHAnsi"/>
          <w:sz w:val="24"/>
          <w:szCs w:val="24"/>
        </w:rPr>
        <w:t>Connect rights with responsibilities in school, the community and life as a British citizen.</w:t>
      </w:r>
    </w:p>
    <w:p w14:paraId="276F37BB" w14:textId="77777777" w:rsidR="00DF340D" w:rsidRPr="009D3F72" w:rsidRDefault="00140B70">
      <w:pPr>
        <w:pStyle w:val="ListBullet"/>
        <w:spacing w:after="40"/>
        <w:rPr>
          <w:rFonts w:asciiTheme="majorHAnsi" w:hAnsiTheme="majorHAnsi" w:cstheme="majorHAnsi"/>
          <w:sz w:val="24"/>
          <w:szCs w:val="24"/>
        </w:rPr>
      </w:pPr>
      <w:r w:rsidRPr="009D3F72">
        <w:rPr>
          <w:rFonts w:asciiTheme="majorHAnsi" w:hAnsiTheme="majorHAnsi" w:cstheme="majorHAnsi"/>
          <w:sz w:val="24"/>
          <w:szCs w:val="24"/>
        </w:rPr>
        <w:t>Introduce careers education through Unifrog, labour market information and the skills likely to matter in future employment.</w:t>
      </w:r>
    </w:p>
    <w:p w14:paraId="70B9D12E" w14:textId="77777777" w:rsidR="00DF340D" w:rsidRPr="009D3F72" w:rsidRDefault="00140B70">
      <w:pPr>
        <w:pStyle w:val="Heading1"/>
        <w:rPr>
          <w:rFonts w:cstheme="majorHAnsi"/>
          <w:sz w:val="24"/>
          <w:szCs w:val="24"/>
        </w:rPr>
      </w:pPr>
      <w:r w:rsidRPr="009D3F72">
        <w:rPr>
          <w:rFonts w:cstheme="majorHAnsi"/>
          <w:sz w:val="24"/>
          <w:szCs w:val="24"/>
        </w:rPr>
        <w:t>2. AUTUMN TERM CURRICULUM SEQUENCE</w:t>
      </w:r>
    </w:p>
    <w:tbl>
      <w:tblPr>
        <w:tblStyle w:val="TableGrid"/>
        <w:tblW w:w="5000" w:type="pct"/>
        <w:jc w:val="center"/>
        <w:tblLook w:val="04A0" w:firstRow="1" w:lastRow="0" w:firstColumn="1" w:lastColumn="0" w:noHBand="0" w:noVBand="1"/>
      </w:tblPr>
      <w:tblGrid>
        <w:gridCol w:w="1788"/>
        <w:gridCol w:w="1787"/>
        <w:gridCol w:w="2581"/>
        <w:gridCol w:w="2617"/>
        <w:gridCol w:w="1787"/>
      </w:tblGrid>
      <w:tr w:rsidR="00DF340D" w:rsidRPr="009D3F72" w14:paraId="26EC58D9" w14:textId="77777777" w:rsidTr="009D3F72">
        <w:trPr>
          <w:cantSplit/>
          <w:tblHeader/>
          <w:jc w:val="center"/>
        </w:trPr>
        <w:tc>
          <w:tcPr>
            <w:tcW w:w="846" w:type="pct"/>
            <w:shd w:val="clear" w:color="auto" w:fill="123B69"/>
            <w:tcMar>
              <w:top w:w="90" w:type="dxa"/>
              <w:left w:w="100" w:type="dxa"/>
              <w:bottom w:w="90" w:type="dxa"/>
              <w:right w:w="100" w:type="dxa"/>
            </w:tcMar>
            <w:vAlign w:val="center"/>
          </w:tcPr>
          <w:p w14:paraId="239AC028"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b/>
                <w:color w:val="FFFFFF"/>
                <w:sz w:val="24"/>
                <w:szCs w:val="24"/>
              </w:rPr>
              <w:t>#</w:t>
            </w:r>
          </w:p>
        </w:tc>
        <w:tc>
          <w:tcPr>
            <w:tcW w:w="846" w:type="pct"/>
            <w:shd w:val="clear" w:color="auto" w:fill="123B69"/>
            <w:tcMar>
              <w:top w:w="90" w:type="dxa"/>
              <w:left w:w="100" w:type="dxa"/>
              <w:bottom w:w="90" w:type="dxa"/>
              <w:right w:w="100" w:type="dxa"/>
            </w:tcMar>
            <w:vAlign w:val="center"/>
          </w:tcPr>
          <w:p w14:paraId="02CA8E7C"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b/>
                <w:color w:val="FFFFFF"/>
                <w:sz w:val="24"/>
                <w:szCs w:val="24"/>
              </w:rPr>
              <w:t>Lesson focus</w:t>
            </w:r>
          </w:p>
        </w:tc>
        <w:tc>
          <w:tcPr>
            <w:tcW w:w="1222" w:type="pct"/>
            <w:shd w:val="clear" w:color="auto" w:fill="123B69"/>
            <w:tcMar>
              <w:top w:w="90" w:type="dxa"/>
              <w:left w:w="100" w:type="dxa"/>
              <w:bottom w:w="90" w:type="dxa"/>
              <w:right w:w="100" w:type="dxa"/>
            </w:tcMar>
            <w:vAlign w:val="center"/>
          </w:tcPr>
          <w:p w14:paraId="2FC8D742"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b/>
                <w:color w:val="FFFFFF"/>
                <w:sz w:val="24"/>
                <w:szCs w:val="24"/>
              </w:rPr>
              <w:t>Core knowledge and understanding</w:t>
            </w:r>
          </w:p>
        </w:tc>
        <w:tc>
          <w:tcPr>
            <w:tcW w:w="1239" w:type="pct"/>
            <w:shd w:val="clear" w:color="auto" w:fill="123B69"/>
            <w:tcMar>
              <w:top w:w="90" w:type="dxa"/>
              <w:left w:w="100" w:type="dxa"/>
              <w:bottom w:w="90" w:type="dxa"/>
              <w:right w:w="100" w:type="dxa"/>
            </w:tcMar>
            <w:vAlign w:val="center"/>
          </w:tcPr>
          <w:p w14:paraId="46F6B8E6"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b/>
                <w:color w:val="FFFFFF"/>
                <w:sz w:val="24"/>
                <w:szCs w:val="24"/>
              </w:rPr>
              <w:t>Learning experiences</w:t>
            </w:r>
          </w:p>
        </w:tc>
        <w:tc>
          <w:tcPr>
            <w:tcW w:w="846" w:type="pct"/>
            <w:shd w:val="clear" w:color="auto" w:fill="123B69"/>
            <w:tcMar>
              <w:top w:w="90" w:type="dxa"/>
              <w:left w:w="100" w:type="dxa"/>
              <w:bottom w:w="90" w:type="dxa"/>
              <w:right w:w="100" w:type="dxa"/>
            </w:tcMar>
            <w:vAlign w:val="center"/>
          </w:tcPr>
          <w:p w14:paraId="022029B3"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b/>
                <w:color w:val="FFFFFF"/>
                <w:sz w:val="24"/>
                <w:szCs w:val="24"/>
              </w:rPr>
              <w:t>Evidence / assessment</w:t>
            </w:r>
          </w:p>
        </w:tc>
      </w:tr>
      <w:tr w:rsidR="00DF340D" w:rsidRPr="009D3F72" w14:paraId="71FAB7AA" w14:textId="77777777" w:rsidTr="009D3F72">
        <w:trPr>
          <w:cantSplit/>
          <w:jc w:val="center"/>
        </w:trPr>
        <w:tc>
          <w:tcPr>
            <w:tcW w:w="846" w:type="pct"/>
            <w:tcMar>
              <w:top w:w="90" w:type="dxa"/>
              <w:left w:w="100" w:type="dxa"/>
              <w:bottom w:w="90" w:type="dxa"/>
              <w:right w:w="100" w:type="dxa"/>
            </w:tcMar>
            <w:vAlign w:val="center"/>
          </w:tcPr>
          <w:p w14:paraId="541945BD"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b/>
                <w:color w:val="123B69"/>
                <w:sz w:val="24"/>
                <w:szCs w:val="24"/>
              </w:rPr>
              <w:t>1</w:t>
            </w:r>
          </w:p>
        </w:tc>
        <w:tc>
          <w:tcPr>
            <w:tcW w:w="846" w:type="pct"/>
            <w:tcMar>
              <w:top w:w="90" w:type="dxa"/>
              <w:left w:w="100" w:type="dxa"/>
              <w:bottom w:w="90" w:type="dxa"/>
              <w:right w:w="100" w:type="dxa"/>
            </w:tcMar>
            <w:vAlign w:val="center"/>
          </w:tcPr>
          <w:p w14:paraId="68954A62"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Transition to secondary school</w:t>
            </w:r>
          </w:p>
        </w:tc>
        <w:tc>
          <w:tcPr>
            <w:tcW w:w="1222" w:type="pct"/>
            <w:tcMar>
              <w:top w:w="90" w:type="dxa"/>
              <w:left w:w="100" w:type="dxa"/>
              <w:bottom w:w="90" w:type="dxa"/>
              <w:right w:w="100" w:type="dxa"/>
            </w:tcMar>
            <w:vAlign w:val="center"/>
          </w:tcPr>
          <w:p w14:paraId="425392EE"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Change can affect feelings and mental health. Pupils identify worries, positive expectations, trusted adults and helpful strategies.</w:t>
            </w:r>
          </w:p>
        </w:tc>
        <w:tc>
          <w:tcPr>
            <w:tcW w:w="1239" w:type="pct"/>
            <w:tcMar>
              <w:top w:w="90" w:type="dxa"/>
              <w:left w:w="100" w:type="dxa"/>
              <w:bottom w:w="90" w:type="dxa"/>
              <w:right w:w="100" w:type="dxa"/>
            </w:tcMar>
            <w:vAlign w:val="center"/>
          </w:tcPr>
          <w:p w14:paraId="1B387B92" w14:textId="77777777" w:rsidR="00DF340D" w:rsidRPr="009D3F72" w:rsidRDefault="00140B70">
            <w:pPr>
              <w:spacing w:after="0"/>
              <w:rPr>
                <w:rFonts w:asciiTheme="majorHAnsi" w:hAnsiTheme="majorHAnsi" w:cstheme="majorHAnsi"/>
                <w:sz w:val="24"/>
                <w:szCs w:val="24"/>
              </w:rPr>
            </w:pPr>
            <w:proofErr w:type="gramStart"/>
            <w:r w:rsidRPr="009D3F72">
              <w:rPr>
                <w:rFonts w:asciiTheme="majorHAnsi" w:hAnsiTheme="majorHAnsi" w:cstheme="majorHAnsi"/>
                <w:sz w:val="24"/>
                <w:szCs w:val="24"/>
              </w:rPr>
              <w:t>Agree</w:t>
            </w:r>
            <w:proofErr w:type="gramEnd"/>
            <w:r w:rsidRPr="009D3F72">
              <w:rPr>
                <w:rFonts w:asciiTheme="majorHAnsi" w:hAnsiTheme="majorHAnsi" w:cstheme="majorHAnsi"/>
                <w:sz w:val="24"/>
                <w:szCs w:val="24"/>
              </w:rPr>
              <w:t xml:space="preserve"> PSHE ground rules; create a support network; compare worries and excitements; complete a worry puzzle and positive Year 7 goals page.</w:t>
            </w:r>
          </w:p>
        </w:tc>
        <w:tc>
          <w:tcPr>
            <w:tcW w:w="846" w:type="pct"/>
            <w:tcMar>
              <w:top w:w="90" w:type="dxa"/>
              <w:left w:w="100" w:type="dxa"/>
              <w:bottom w:w="90" w:type="dxa"/>
              <w:right w:w="100" w:type="dxa"/>
            </w:tcMar>
            <w:vAlign w:val="center"/>
          </w:tcPr>
          <w:p w14:paraId="60E951F9"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Support network, coping strategies and personal reflection.</w:t>
            </w:r>
          </w:p>
        </w:tc>
      </w:tr>
      <w:tr w:rsidR="00DF340D" w:rsidRPr="009D3F72" w14:paraId="52FB8021" w14:textId="77777777" w:rsidTr="009D3F72">
        <w:trPr>
          <w:cantSplit/>
          <w:jc w:val="center"/>
        </w:trPr>
        <w:tc>
          <w:tcPr>
            <w:tcW w:w="846" w:type="pct"/>
            <w:shd w:val="clear" w:color="auto" w:fill="F5F8FC"/>
            <w:tcMar>
              <w:top w:w="90" w:type="dxa"/>
              <w:left w:w="100" w:type="dxa"/>
              <w:bottom w:w="90" w:type="dxa"/>
              <w:right w:w="100" w:type="dxa"/>
            </w:tcMar>
            <w:vAlign w:val="center"/>
          </w:tcPr>
          <w:p w14:paraId="3A64D86A"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b/>
                <w:color w:val="123B69"/>
                <w:sz w:val="24"/>
                <w:szCs w:val="24"/>
              </w:rPr>
              <w:t>2</w:t>
            </w:r>
          </w:p>
        </w:tc>
        <w:tc>
          <w:tcPr>
            <w:tcW w:w="846" w:type="pct"/>
            <w:shd w:val="clear" w:color="auto" w:fill="F5F8FC"/>
            <w:tcMar>
              <w:top w:w="90" w:type="dxa"/>
              <w:left w:w="100" w:type="dxa"/>
              <w:bottom w:w="90" w:type="dxa"/>
              <w:right w:w="100" w:type="dxa"/>
            </w:tcMar>
            <w:vAlign w:val="center"/>
          </w:tcPr>
          <w:p w14:paraId="49CF2476"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Unifrog launch</w:t>
            </w:r>
          </w:p>
        </w:tc>
        <w:tc>
          <w:tcPr>
            <w:tcW w:w="1222" w:type="pct"/>
            <w:shd w:val="clear" w:color="auto" w:fill="F5F8FC"/>
            <w:tcMar>
              <w:top w:w="90" w:type="dxa"/>
              <w:left w:w="100" w:type="dxa"/>
              <w:bottom w:w="90" w:type="dxa"/>
              <w:right w:w="100" w:type="dxa"/>
            </w:tcMar>
            <w:vAlign w:val="center"/>
          </w:tcPr>
          <w:p w14:paraId="2AB6A76C"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Unifrog supports future decision-making by linking interests, subjects, skills and pathways. Pupils learn how to record achievements.</w:t>
            </w:r>
          </w:p>
        </w:tc>
        <w:tc>
          <w:tcPr>
            <w:tcW w:w="1239" w:type="pct"/>
            <w:shd w:val="clear" w:color="auto" w:fill="F5F8FC"/>
            <w:tcMar>
              <w:top w:w="90" w:type="dxa"/>
              <w:left w:w="100" w:type="dxa"/>
              <w:bottom w:w="90" w:type="dxa"/>
              <w:right w:w="100" w:type="dxa"/>
            </w:tcMar>
            <w:vAlign w:val="center"/>
          </w:tcPr>
          <w:p w14:paraId="3C41AAEF"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Create and access an account; tour platform features; complete the Interests Profile and begin the Skills page.</w:t>
            </w:r>
          </w:p>
        </w:tc>
        <w:tc>
          <w:tcPr>
            <w:tcW w:w="846" w:type="pct"/>
            <w:shd w:val="clear" w:color="auto" w:fill="F5F8FC"/>
            <w:tcMar>
              <w:top w:w="90" w:type="dxa"/>
              <w:left w:w="100" w:type="dxa"/>
              <w:bottom w:w="90" w:type="dxa"/>
              <w:right w:w="100" w:type="dxa"/>
            </w:tcMar>
            <w:vAlign w:val="center"/>
          </w:tcPr>
          <w:p w14:paraId="3E475E5A"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Successful login, profile completion and recorded skills.</w:t>
            </w:r>
          </w:p>
        </w:tc>
      </w:tr>
      <w:tr w:rsidR="00DF340D" w:rsidRPr="009D3F72" w14:paraId="0EA28931" w14:textId="77777777" w:rsidTr="009D3F72">
        <w:trPr>
          <w:cantSplit/>
          <w:jc w:val="center"/>
        </w:trPr>
        <w:tc>
          <w:tcPr>
            <w:tcW w:w="846" w:type="pct"/>
            <w:tcMar>
              <w:top w:w="90" w:type="dxa"/>
              <w:left w:w="100" w:type="dxa"/>
              <w:bottom w:w="90" w:type="dxa"/>
              <w:right w:w="100" w:type="dxa"/>
            </w:tcMar>
            <w:vAlign w:val="center"/>
          </w:tcPr>
          <w:p w14:paraId="156F5F3D"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b/>
                <w:color w:val="123B69"/>
                <w:sz w:val="24"/>
                <w:szCs w:val="24"/>
              </w:rPr>
              <w:lastRenderedPageBreak/>
              <w:t>3</w:t>
            </w:r>
          </w:p>
        </w:tc>
        <w:tc>
          <w:tcPr>
            <w:tcW w:w="846" w:type="pct"/>
            <w:tcMar>
              <w:top w:w="90" w:type="dxa"/>
              <w:left w:w="100" w:type="dxa"/>
              <w:bottom w:w="90" w:type="dxa"/>
              <w:right w:w="100" w:type="dxa"/>
            </w:tcMar>
            <w:vAlign w:val="center"/>
          </w:tcPr>
          <w:p w14:paraId="6CA55431"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Bullying awareness and #BeeWell</w:t>
            </w:r>
          </w:p>
        </w:tc>
        <w:tc>
          <w:tcPr>
            <w:tcW w:w="1222" w:type="pct"/>
            <w:tcMar>
              <w:top w:w="90" w:type="dxa"/>
              <w:left w:w="100" w:type="dxa"/>
              <w:bottom w:w="90" w:type="dxa"/>
              <w:right w:w="100" w:type="dxa"/>
            </w:tcMar>
            <w:vAlign w:val="center"/>
          </w:tcPr>
          <w:p w14:paraId="1D9BBC03"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Bullying involves intentional, repeated harm. It may be verbal, physical, indirect or online. Pupil voice can help schools and services improve wellbeing.</w:t>
            </w:r>
          </w:p>
        </w:tc>
        <w:tc>
          <w:tcPr>
            <w:tcW w:w="1239" w:type="pct"/>
            <w:tcMar>
              <w:top w:w="90" w:type="dxa"/>
              <w:left w:w="100" w:type="dxa"/>
              <w:bottom w:w="90" w:type="dxa"/>
              <w:right w:w="100" w:type="dxa"/>
            </w:tcMar>
            <w:vAlign w:val="center"/>
          </w:tcPr>
          <w:p w14:paraId="7A887B41"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Complete the anonymised #BeeWell survey; research one aspect of bullying; create a poster, leaflet, card game, kindness postcards or poem.</w:t>
            </w:r>
          </w:p>
        </w:tc>
        <w:tc>
          <w:tcPr>
            <w:tcW w:w="846" w:type="pct"/>
            <w:tcMar>
              <w:top w:w="90" w:type="dxa"/>
              <w:left w:w="100" w:type="dxa"/>
              <w:bottom w:w="90" w:type="dxa"/>
              <w:right w:w="100" w:type="dxa"/>
            </w:tcMar>
            <w:vAlign w:val="center"/>
          </w:tcPr>
          <w:p w14:paraId="60ED6758"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Accurate definition, recognition of behaviours, help-seeking advice and campaign product.</w:t>
            </w:r>
          </w:p>
        </w:tc>
      </w:tr>
      <w:tr w:rsidR="00DF340D" w:rsidRPr="009D3F72" w14:paraId="022FCA7A" w14:textId="77777777" w:rsidTr="009D3F72">
        <w:trPr>
          <w:cantSplit/>
          <w:jc w:val="center"/>
        </w:trPr>
        <w:tc>
          <w:tcPr>
            <w:tcW w:w="846" w:type="pct"/>
            <w:shd w:val="clear" w:color="auto" w:fill="F5F8FC"/>
            <w:tcMar>
              <w:top w:w="90" w:type="dxa"/>
              <w:left w:w="100" w:type="dxa"/>
              <w:bottom w:w="90" w:type="dxa"/>
              <w:right w:w="100" w:type="dxa"/>
            </w:tcMar>
            <w:vAlign w:val="center"/>
          </w:tcPr>
          <w:p w14:paraId="0C75D7B3"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b/>
                <w:color w:val="123B69"/>
                <w:sz w:val="24"/>
                <w:szCs w:val="24"/>
              </w:rPr>
              <w:t>4</w:t>
            </w:r>
          </w:p>
        </w:tc>
        <w:tc>
          <w:tcPr>
            <w:tcW w:w="846" w:type="pct"/>
            <w:shd w:val="clear" w:color="auto" w:fill="F5F8FC"/>
            <w:tcMar>
              <w:top w:w="90" w:type="dxa"/>
              <w:left w:w="100" w:type="dxa"/>
              <w:bottom w:w="90" w:type="dxa"/>
              <w:right w:w="100" w:type="dxa"/>
            </w:tcMar>
            <w:vAlign w:val="center"/>
          </w:tcPr>
          <w:p w14:paraId="1FE098AA"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Identity, rights and respect</w:t>
            </w:r>
          </w:p>
        </w:tc>
        <w:tc>
          <w:tcPr>
            <w:tcW w:w="1222" w:type="pct"/>
            <w:shd w:val="clear" w:color="auto" w:fill="F5F8FC"/>
            <w:tcMar>
              <w:top w:w="90" w:type="dxa"/>
              <w:left w:w="100" w:type="dxa"/>
              <w:bottom w:w="90" w:type="dxa"/>
              <w:right w:w="100" w:type="dxa"/>
            </w:tcMar>
            <w:vAlign w:val="center"/>
          </w:tcPr>
          <w:p w14:paraId="064D72CD"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Identity has many aspects. The UN Convention on the Rights of the Child protects children’s identity and wellbeing. Respect for identity supports citizenship.</w:t>
            </w:r>
          </w:p>
        </w:tc>
        <w:tc>
          <w:tcPr>
            <w:tcW w:w="1239" w:type="pct"/>
            <w:shd w:val="clear" w:color="auto" w:fill="F5F8FC"/>
            <w:tcMar>
              <w:top w:w="90" w:type="dxa"/>
              <w:left w:w="100" w:type="dxa"/>
              <w:bottom w:w="90" w:type="dxa"/>
              <w:right w:w="100" w:type="dxa"/>
            </w:tcMar>
            <w:vAlign w:val="center"/>
          </w:tcPr>
          <w:p w14:paraId="6439C90F"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Create an identity graffiti wall or profile; link aspects of identity to children’s rights; identify rights being requested, enjoyed or denied.</w:t>
            </w:r>
          </w:p>
        </w:tc>
        <w:tc>
          <w:tcPr>
            <w:tcW w:w="846" w:type="pct"/>
            <w:shd w:val="clear" w:color="auto" w:fill="F5F8FC"/>
            <w:tcMar>
              <w:top w:w="90" w:type="dxa"/>
              <w:left w:w="100" w:type="dxa"/>
              <w:bottom w:w="90" w:type="dxa"/>
              <w:right w:w="100" w:type="dxa"/>
            </w:tcMar>
            <w:vAlign w:val="center"/>
          </w:tcPr>
          <w:p w14:paraId="17E33332"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Rights-matching table and paragraph explaining why identity and rights matter.</w:t>
            </w:r>
          </w:p>
        </w:tc>
      </w:tr>
      <w:tr w:rsidR="00DF340D" w:rsidRPr="009D3F72" w14:paraId="27842346" w14:textId="77777777" w:rsidTr="009D3F72">
        <w:trPr>
          <w:cantSplit/>
          <w:jc w:val="center"/>
        </w:trPr>
        <w:tc>
          <w:tcPr>
            <w:tcW w:w="846" w:type="pct"/>
            <w:tcMar>
              <w:top w:w="90" w:type="dxa"/>
              <w:left w:w="100" w:type="dxa"/>
              <w:bottom w:w="90" w:type="dxa"/>
              <w:right w:w="100" w:type="dxa"/>
            </w:tcMar>
            <w:vAlign w:val="center"/>
          </w:tcPr>
          <w:p w14:paraId="7E775E78"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b/>
                <w:color w:val="123B69"/>
                <w:sz w:val="24"/>
                <w:szCs w:val="24"/>
              </w:rPr>
              <w:t>5</w:t>
            </w:r>
          </w:p>
        </w:tc>
        <w:tc>
          <w:tcPr>
            <w:tcW w:w="846" w:type="pct"/>
            <w:tcMar>
              <w:top w:w="90" w:type="dxa"/>
              <w:left w:w="100" w:type="dxa"/>
              <w:bottom w:w="90" w:type="dxa"/>
              <w:right w:w="100" w:type="dxa"/>
            </w:tcMar>
            <w:vAlign w:val="center"/>
          </w:tcPr>
          <w:p w14:paraId="44700B9F"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What are human rights?</w:t>
            </w:r>
          </w:p>
        </w:tc>
        <w:tc>
          <w:tcPr>
            <w:tcW w:w="1222" w:type="pct"/>
            <w:tcMar>
              <w:top w:w="90" w:type="dxa"/>
              <w:left w:w="100" w:type="dxa"/>
              <w:bottom w:w="90" w:type="dxa"/>
              <w:right w:w="100" w:type="dxa"/>
            </w:tcMar>
            <w:vAlign w:val="center"/>
          </w:tcPr>
          <w:p w14:paraId="197A9E11"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Human rights arise from basic human needs, belong to everyone from birth and work together. Needs differ from wants.</w:t>
            </w:r>
          </w:p>
        </w:tc>
        <w:tc>
          <w:tcPr>
            <w:tcW w:w="1239" w:type="pct"/>
            <w:tcMar>
              <w:top w:w="90" w:type="dxa"/>
              <w:left w:w="100" w:type="dxa"/>
              <w:bottom w:w="90" w:type="dxa"/>
              <w:right w:w="100" w:type="dxa"/>
            </w:tcMar>
            <w:vAlign w:val="center"/>
          </w:tcPr>
          <w:p w14:paraId="100EBAB6"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Sort needs and wants; rank rights; take part in a marketplace simulation; discuss the impact of losing a right. SEN version supports access.</w:t>
            </w:r>
          </w:p>
        </w:tc>
        <w:tc>
          <w:tcPr>
            <w:tcW w:w="846" w:type="pct"/>
            <w:tcMar>
              <w:top w:w="90" w:type="dxa"/>
              <w:left w:w="100" w:type="dxa"/>
              <w:bottom w:w="90" w:type="dxa"/>
              <w:right w:w="100" w:type="dxa"/>
            </w:tcMar>
            <w:vAlign w:val="center"/>
          </w:tcPr>
          <w:p w14:paraId="201D8500"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Reasoned choices during discussion and reflection on why all rights matter.</w:t>
            </w:r>
          </w:p>
        </w:tc>
      </w:tr>
      <w:tr w:rsidR="00DF340D" w:rsidRPr="009D3F72" w14:paraId="7112D761" w14:textId="77777777" w:rsidTr="009D3F72">
        <w:trPr>
          <w:cantSplit/>
          <w:jc w:val="center"/>
        </w:trPr>
        <w:tc>
          <w:tcPr>
            <w:tcW w:w="846" w:type="pct"/>
            <w:shd w:val="clear" w:color="auto" w:fill="F5F8FC"/>
            <w:tcMar>
              <w:top w:w="90" w:type="dxa"/>
              <w:left w:w="100" w:type="dxa"/>
              <w:bottom w:w="90" w:type="dxa"/>
              <w:right w:w="100" w:type="dxa"/>
            </w:tcMar>
            <w:vAlign w:val="center"/>
          </w:tcPr>
          <w:p w14:paraId="1349F8D8"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b/>
                <w:color w:val="123B69"/>
                <w:sz w:val="24"/>
                <w:szCs w:val="24"/>
              </w:rPr>
              <w:t>6</w:t>
            </w:r>
          </w:p>
        </w:tc>
        <w:tc>
          <w:tcPr>
            <w:tcW w:w="846" w:type="pct"/>
            <w:shd w:val="clear" w:color="auto" w:fill="F5F8FC"/>
            <w:tcMar>
              <w:top w:w="90" w:type="dxa"/>
              <w:left w:w="100" w:type="dxa"/>
              <w:bottom w:w="90" w:type="dxa"/>
              <w:right w:w="100" w:type="dxa"/>
            </w:tcMar>
            <w:vAlign w:val="center"/>
          </w:tcPr>
          <w:p w14:paraId="17DC23BA"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Careers and the future</w:t>
            </w:r>
          </w:p>
        </w:tc>
        <w:tc>
          <w:tcPr>
            <w:tcW w:w="1222" w:type="pct"/>
            <w:shd w:val="clear" w:color="auto" w:fill="F5F8FC"/>
            <w:tcMar>
              <w:top w:w="90" w:type="dxa"/>
              <w:left w:w="100" w:type="dxa"/>
              <w:bottom w:w="90" w:type="dxa"/>
              <w:right w:w="100" w:type="dxa"/>
            </w:tcMar>
            <w:vAlign w:val="center"/>
          </w:tcPr>
          <w:p w14:paraId="73536551"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Career patterns change. Digital literacy, creativity, critical thinking and problem solving are transferable. Labour market information helps people explore opportunities.</w:t>
            </w:r>
          </w:p>
        </w:tc>
        <w:tc>
          <w:tcPr>
            <w:tcW w:w="1239" w:type="pct"/>
            <w:shd w:val="clear" w:color="auto" w:fill="F5F8FC"/>
            <w:tcMar>
              <w:top w:w="90" w:type="dxa"/>
              <w:left w:w="100" w:type="dxa"/>
              <w:bottom w:w="90" w:type="dxa"/>
              <w:right w:w="100" w:type="dxa"/>
            </w:tcMar>
            <w:vAlign w:val="center"/>
          </w:tcPr>
          <w:p w14:paraId="6162D0F4"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Predict future careers; compare work then and now; discuss remote work, multiple careers and AI; investigate computer games development using Unifrog.</w:t>
            </w:r>
          </w:p>
        </w:tc>
        <w:tc>
          <w:tcPr>
            <w:tcW w:w="846" w:type="pct"/>
            <w:shd w:val="clear" w:color="auto" w:fill="F5F8FC"/>
            <w:tcMar>
              <w:top w:w="90" w:type="dxa"/>
              <w:left w:w="100" w:type="dxa"/>
              <w:bottom w:w="90" w:type="dxa"/>
              <w:right w:w="100" w:type="dxa"/>
            </w:tcMar>
            <w:vAlign w:val="center"/>
          </w:tcPr>
          <w:p w14:paraId="26F71CA6"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Career research answers, future prediction and personal skills-development action.</w:t>
            </w:r>
          </w:p>
        </w:tc>
      </w:tr>
      <w:tr w:rsidR="00DF340D" w:rsidRPr="009D3F72" w14:paraId="71D7DB00" w14:textId="77777777" w:rsidTr="009D3F72">
        <w:trPr>
          <w:cantSplit/>
          <w:jc w:val="center"/>
        </w:trPr>
        <w:tc>
          <w:tcPr>
            <w:tcW w:w="846" w:type="pct"/>
            <w:tcMar>
              <w:top w:w="90" w:type="dxa"/>
              <w:left w:w="100" w:type="dxa"/>
              <w:bottom w:w="90" w:type="dxa"/>
              <w:right w:w="100" w:type="dxa"/>
            </w:tcMar>
            <w:vAlign w:val="center"/>
          </w:tcPr>
          <w:p w14:paraId="7ADDA496"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b/>
                <w:color w:val="123B69"/>
                <w:sz w:val="24"/>
                <w:szCs w:val="24"/>
              </w:rPr>
              <w:t>7</w:t>
            </w:r>
          </w:p>
        </w:tc>
        <w:tc>
          <w:tcPr>
            <w:tcW w:w="846" w:type="pct"/>
            <w:tcMar>
              <w:top w:w="90" w:type="dxa"/>
              <w:left w:w="100" w:type="dxa"/>
              <w:bottom w:w="90" w:type="dxa"/>
              <w:right w:w="100" w:type="dxa"/>
            </w:tcMar>
            <w:vAlign w:val="center"/>
          </w:tcPr>
          <w:p w14:paraId="2400148A"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Rights and responsibilities</w:t>
            </w:r>
          </w:p>
        </w:tc>
        <w:tc>
          <w:tcPr>
            <w:tcW w:w="1222" w:type="pct"/>
            <w:tcMar>
              <w:top w:w="90" w:type="dxa"/>
              <w:left w:w="100" w:type="dxa"/>
              <w:bottom w:w="90" w:type="dxa"/>
              <w:right w:w="100" w:type="dxa"/>
            </w:tcMar>
            <w:vAlign w:val="center"/>
          </w:tcPr>
          <w:p w14:paraId="3220CA53"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Human, moral, political/civil and legal/social rights create related responsibilities. Rights and responsibilities operate in school and wider society.</w:t>
            </w:r>
          </w:p>
        </w:tc>
        <w:tc>
          <w:tcPr>
            <w:tcW w:w="1239" w:type="pct"/>
            <w:tcMar>
              <w:top w:w="90" w:type="dxa"/>
              <w:left w:w="100" w:type="dxa"/>
              <w:bottom w:w="90" w:type="dxa"/>
              <w:right w:w="100" w:type="dxa"/>
            </w:tcMar>
            <w:vAlign w:val="center"/>
          </w:tcPr>
          <w:p w14:paraId="2EFEA3FA"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Classify types of rights; read about children in Guatemala; discuss scenarios; connect rights and responsibilities to British citizenship.</w:t>
            </w:r>
          </w:p>
        </w:tc>
        <w:tc>
          <w:tcPr>
            <w:tcW w:w="846" w:type="pct"/>
            <w:tcMar>
              <w:top w:w="90" w:type="dxa"/>
              <w:left w:w="100" w:type="dxa"/>
              <w:bottom w:w="90" w:type="dxa"/>
              <w:right w:w="100" w:type="dxa"/>
            </w:tcMar>
            <w:vAlign w:val="center"/>
          </w:tcPr>
          <w:p w14:paraId="79E56EC8"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Scenario responses, personal reflection and end-of-unit evaluation.</w:t>
            </w:r>
          </w:p>
        </w:tc>
      </w:tr>
    </w:tbl>
    <w:p w14:paraId="00F98205" w14:textId="77777777" w:rsidR="00DF340D" w:rsidRPr="009D3F72" w:rsidRDefault="00140B70">
      <w:pPr>
        <w:pStyle w:val="Heading1"/>
        <w:rPr>
          <w:rFonts w:cstheme="majorHAnsi"/>
          <w:sz w:val="24"/>
          <w:szCs w:val="24"/>
        </w:rPr>
      </w:pPr>
      <w:r w:rsidRPr="009D3F72">
        <w:rPr>
          <w:rFonts w:cstheme="majorHAnsi"/>
          <w:sz w:val="24"/>
          <w:szCs w:val="24"/>
        </w:rPr>
        <w:lastRenderedPageBreak/>
        <w:t>3. END-OF-UNIT KNOWLEDGE AND SKILLS</w:t>
      </w:r>
    </w:p>
    <w:tbl>
      <w:tblPr>
        <w:tblStyle w:val="TableGrid"/>
        <w:tblW w:w="0" w:type="auto"/>
        <w:jc w:val="center"/>
        <w:tblLook w:val="04A0" w:firstRow="1" w:lastRow="0" w:firstColumn="1" w:lastColumn="0" w:noHBand="0" w:noVBand="1"/>
      </w:tblPr>
      <w:tblGrid>
        <w:gridCol w:w="5280"/>
        <w:gridCol w:w="5280"/>
      </w:tblGrid>
      <w:tr w:rsidR="00DF340D" w:rsidRPr="009D3F72" w14:paraId="7498F95B" w14:textId="77777777">
        <w:trPr>
          <w:cantSplit/>
          <w:jc w:val="center"/>
        </w:trPr>
        <w:tc>
          <w:tcPr>
            <w:tcW w:w="5285" w:type="dxa"/>
            <w:shd w:val="clear" w:color="auto" w:fill="123B69"/>
            <w:tcMar>
              <w:top w:w="90" w:type="dxa"/>
              <w:left w:w="100" w:type="dxa"/>
              <w:bottom w:w="90" w:type="dxa"/>
              <w:right w:w="100" w:type="dxa"/>
            </w:tcMar>
            <w:vAlign w:val="center"/>
          </w:tcPr>
          <w:p w14:paraId="7EFDA665"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b/>
                <w:color w:val="FFFFFF"/>
                <w:sz w:val="24"/>
                <w:szCs w:val="24"/>
              </w:rPr>
              <w:t>Pupils should know</w:t>
            </w:r>
          </w:p>
        </w:tc>
        <w:tc>
          <w:tcPr>
            <w:tcW w:w="5285" w:type="dxa"/>
            <w:shd w:val="clear" w:color="auto" w:fill="123B69"/>
            <w:tcMar>
              <w:top w:w="90" w:type="dxa"/>
              <w:left w:w="100" w:type="dxa"/>
              <w:bottom w:w="90" w:type="dxa"/>
              <w:right w:w="100" w:type="dxa"/>
            </w:tcMar>
            <w:vAlign w:val="center"/>
          </w:tcPr>
          <w:p w14:paraId="63E573D1"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b/>
                <w:color w:val="FFFFFF"/>
                <w:sz w:val="24"/>
                <w:szCs w:val="24"/>
              </w:rPr>
              <w:t>Pupils should be able to</w:t>
            </w:r>
          </w:p>
        </w:tc>
      </w:tr>
      <w:tr w:rsidR="00DF340D" w:rsidRPr="009D3F72" w14:paraId="04A06B04" w14:textId="77777777">
        <w:trPr>
          <w:cantSplit/>
          <w:jc w:val="center"/>
        </w:trPr>
        <w:tc>
          <w:tcPr>
            <w:tcW w:w="5285" w:type="dxa"/>
            <w:tcMar>
              <w:top w:w="90" w:type="dxa"/>
              <w:left w:w="100" w:type="dxa"/>
              <w:bottom w:w="90" w:type="dxa"/>
              <w:right w:w="100" w:type="dxa"/>
            </w:tcMar>
            <w:vAlign w:val="center"/>
          </w:tcPr>
          <w:p w14:paraId="2BA30F7F"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 how transition can affect emotions and where support is available</w:t>
            </w:r>
          </w:p>
        </w:tc>
        <w:tc>
          <w:tcPr>
            <w:tcW w:w="5285" w:type="dxa"/>
            <w:tcMar>
              <w:top w:w="90" w:type="dxa"/>
              <w:left w:w="100" w:type="dxa"/>
              <w:bottom w:w="90" w:type="dxa"/>
              <w:right w:w="100" w:type="dxa"/>
            </w:tcMar>
            <w:vAlign w:val="center"/>
          </w:tcPr>
          <w:p w14:paraId="2996434B"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 identify trusted people and select a suitable coping strategy</w:t>
            </w:r>
          </w:p>
        </w:tc>
      </w:tr>
      <w:tr w:rsidR="00DF340D" w:rsidRPr="009D3F72" w14:paraId="0039B9B8" w14:textId="77777777">
        <w:trPr>
          <w:cantSplit/>
          <w:jc w:val="center"/>
        </w:trPr>
        <w:tc>
          <w:tcPr>
            <w:tcW w:w="5285" w:type="dxa"/>
            <w:tcMar>
              <w:top w:w="90" w:type="dxa"/>
              <w:left w:w="100" w:type="dxa"/>
              <w:bottom w:w="90" w:type="dxa"/>
              <w:right w:w="100" w:type="dxa"/>
            </w:tcMar>
            <w:vAlign w:val="center"/>
          </w:tcPr>
          <w:p w14:paraId="193638F8"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 the defining features and main forms of bullying, including cyberbullying</w:t>
            </w:r>
          </w:p>
        </w:tc>
        <w:tc>
          <w:tcPr>
            <w:tcW w:w="5285" w:type="dxa"/>
            <w:tcMar>
              <w:top w:w="90" w:type="dxa"/>
              <w:left w:w="100" w:type="dxa"/>
              <w:bottom w:w="90" w:type="dxa"/>
              <w:right w:w="100" w:type="dxa"/>
            </w:tcMar>
            <w:vAlign w:val="center"/>
          </w:tcPr>
          <w:p w14:paraId="503444A1"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 recognise bullying behaviours, respond safely and signpost sources of help</w:t>
            </w:r>
          </w:p>
        </w:tc>
      </w:tr>
      <w:tr w:rsidR="00DF340D" w:rsidRPr="009D3F72" w14:paraId="7C0AF072" w14:textId="77777777">
        <w:trPr>
          <w:cantSplit/>
          <w:jc w:val="center"/>
        </w:trPr>
        <w:tc>
          <w:tcPr>
            <w:tcW w:w="5285" w:type="dxa"/>
            <w:tcMar>
              <w:top w:w="90" w:type="dxa"/>
              <w:left w:w="100" w:type="dxa"/>
              <w:bottom w:w="90" w:type="dxa"/>
              <w:right w:w="100" w:type="dxa"/>
            </w:tcMar>
            <w:vAlign w:val="center"/>
          </w:tcPr>
          <w:p w14:paraId="41968A88"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 that identity is personal, varied and protected through children’s rights</w:t>
            </w:r>
          </w:p>
        </w:tc>
        <w:tc>
          <w:tcPr>
            <w:tcW w:w="5285" w:type="dxa"/>
            <w:tcMar>
              <w:top w:w="90" w:type="dxa"/>
              <w:left w:w="100" w:type="dxa"/>
              <w:bottom w:w="90" w:type="dxa"/>
              <w:right w:w="100" w:type="dxa"/>
            </w:tcMar>
            <w:vAlign w:val="center"/>
          </w:tcPr>
          <w:p w14:paraId="474D5036"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 discuss identity and difference with respect</w:t>
            </w:r>
          </w:p>
        </w:tc>
      </w:tr>
      <w:tr w:rsidR="00DF340D" w:rsidRPr="009D3F72" w14:paraId="1E4E6CBB" w14:textId="77777777">
        <w:trPr>
          <w:cantSplit/>
          <w:jc w:val="center"/>
        </w:trPr>
        <w:tc>
          <w:tcPr>
            <w:tcW w:w="5285" w:type="dxa"/>
            <w:tcMar>
              <w:top w:w="90" w:type="dxa"/>
              <w:left w:w="100" w:type="dxa"/>
              <w:bottom w:w="90" w:type="dxa"/>
              <w:right w:w="100" w:type="dxa"/>
            </w:tcMar>
            <w:vAlign w:val="center"/>
          </w:tcPr>
          <w:p w14:paraId="4AB73488"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 that human rights are universal, interdependent and linked to human needs</w:t>
            </w:r>
          </w:p>
        </w:tc>
        <w:tc>
          <w:tcPr>
            <w:tcW w:w="5285" w:type="dxa"/>
            <w:tcMar>
              <w:top w:w="90" w:type="dxa"/>
              <w:left w:w="100" w:type="dxa"/>
              <w:bottom w:w="90" w:type="dxa"/>
              <w:right w:w="100" w:type="dxa"/>
            </w:tcMar>
            <w:vAlign w:val="center"/>
          </w:tcPr>
          <w:p w14:paraId="71672DA1"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 distinguish needs from wants and explain the impact of denying a right</w:t>
            </w:r>
          </w:p>
        </w:tc>
      </w:tr>
      <w:tr w:rsidR="00DF340D" w:rsidRPr="009D3F72" w14:paraId="77A584C2" w14:textId="77777777">
        <w:trPr>
          <w:cantSplit/>
          <w:jc w:val="center"/>
        </w:trPr>
        <w:tc>
          <w:tcPr>
            <w:tcW w:w="5285" w:type="dxa"/>
            <w:tcMar>
              <w:top w:w="90" w:type="dxa"/>
              <w:left w:w="100" w:type="dxa"/>
              <w:bottom w:w="90" w:type="dxa"/>
              <w:right w:w="100" w:type="dxa"/>
            </w:tcMar>
            <w:vAlign w:val="center"/>
          </w:tcPr>
          <w:p w14:paraId="41AE037F"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 the main categories of rights and their connection to responsibilities</w:t>
            </w:r>
          </w:p>
        </w:tc>
        <w:tc>
          <w:tcPr>
            <w:tcW w:w="5285" w:type="dxa"/>
            <w:tcMar>
              <w:top w:w="90" w:type="dxa"/>
              <w:left w:w="100" w:type="dxa"/>
              <w:bottom w:w="90" w:type="dxa"/>
              <w:right w:w="100" w:type="dxa"/>
            </w:tcMar>
            <w:vAlign w:val="center"/>
          </w:tcPr>
          <w:p w14:paraId="4BC8F681"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 apply rights and responsibilities to school and real-world scenarios</w:t>
            </w:r>
          </w:p>
        </w:tc>
      </w:tr>
      <w:tr w:rsidR="00DF340D" w:rsidRPr="009D3F72" w14:paraId="0D1865A0" w14:textId="77777777">
        <w:trPr>
          <w:cantSplit/>
          <w:jc w:val="center"/>
        </w:trPr>
        <w:tc>
          <w:tcPr>
            <w:tcW w:w="5285" w:type="dxa"/>
            <w:tcMar>
              <w:top w:w="90" w:type="dxa"/>
              <w:left w:w="100" w:type="dxa"/>
              <w:bottom w:w="90" w:type="dxa"/>
              <w:right w:w="100" w:type="dxa"/>
            </w:tcMar>
            <w:vAlign w:val="center"/>
          </w:tcPr>
          <w:p w14:paraId="23E2F4C6"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 how careers, workplaces and valued skills may change over time</w:t>
            </w:r>
          </w:p>
        </w:tc>
        <w:tc>
          <w:tcPr>
            <w:tcW w:w="5285" w:type="dxa"/>
            <w:tcMar>
              <w:top w:w="90" w:type="dxa"/>
              <w:left w:w="100" w:type="dxa"/>
              <w:bottom w:w="90" w:type="dxa"/>
              <w:right w:w="100" w:type="dxa"/>
            </w:tcMar>
            <w:vAlign w:val="center"/>
          </w:tcPr>
          <w:p w14:paraId="54D511CA"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 use evidence and labour market information to form a reasoned prediction</w:t>
            </w:r>
          </w:p>
        </w:tc>
      </w:tr>
      <w:tr w:rsidR="00DF340D" w:rsidRPr="009D3F72" w14:paraId="703C7573" w14:textId="77777777">
        <w:trPr>
          <w:cantSplit/>
          <w:jc w:val="center"/>
        </w:trPr>
        <w:tc>
          <w:tcPr>
            <w:tcW w:w="5285" w:type="dxa"/>
            <w:tcMar>
              <w:top w:w="90" w:type="dxa"/>
              <w:left w:w="100" w:type="dxa"/>
              <w:bottom w:w="90" w:type="dxa"/>
              <w:right w:w="100" w:type="dxa"/>
            </w:tcMar>
            <w:vAlign w:val="center"/>
          </w:tcPr>
          <w:p w14:paraId="7BFF6C89"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 how Unifrog can support exploration and the recording of achievements</w:t>
            </w:r>
          </w:p>
        </w:tc>
        <w:tc>
          <w:tcPr>
            <w:tcW w:w="5285" w:type="dxa"/>
            <w:tcMar>
              <w:top w:w="90" w:type="dxa"/>
              <w:left w:w="100" w:type="dxa"/>
              <w:bottom w:w="90" w:type="dxa"/>
              <w:right w:w="100" w:type="dxa"/>
            </w:tcMar>
            <w:vAlign w:val="center"/>
          </w:tcPr>
          <w:p w14:paraId="10F3B391"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 reflect on interests, strengths and skills for future development</w:t>
            </w:r>
          </w:p>
        </w:tc>
      </w:tr>
    </w:tbl>
    <w:p w14:paraId="5A72AA52" w14:textId="77777777" w:rsidR="00DF340D" w:rsidRPr="009D3F72" w:rsidRDefault="00140B70">
      <w:pPr>
        <w:pStyle w:val="Heading1"/>
        <w:rPr>
          <w:rFonts w:cstheme="majorHAnsi"/>
          <w:sz w:val="24"/>
          <w:szCs w:val="24"/>
        </w:rPr>
      </w:pPr>
      <w:r w:rsidRPr="009D3F72">
        <w:rPr>
          <w:rFonts w:cstheme="majorHAnsi"/>
          <w:sz w:val="24"/>
          <w:szCs w:val="24"/>
        </w:rPr>
        <w:t>4. ASSESSMENT AND EVIDENCE OF PROGRESS</w:t>
      </w:r>
    </w:p>
    <w:p w14:paraId="7BFCFB34" w14:textId="77777777" w:rsidR="00DF340D" w:rsidRPr="009D3F72" w:rsidRDefault="00140B70">
      <w:pPr>
        <w:rPr>
          <w:rFonts w:asciiTheme="majorHAnsi" w:hAnsiTheme="majorHAnsi" w:cstheme="majorHAnsi"/>
          <w:sz w:val="24"/>
          <w:szCs w:val="24"/>
        </w:rPr>
      </w:pPr>
      <w:r w:rsidRPr="009D3F72">
        <w:rPr>
          <w:rFonts w:asciiTheme="majorHAnsi" w:hAnsiTheme="majorHAnsi" w:cstheme="majorHAnsi"/>
          <w:sz w:val="24"/>
          <w:szCs w:val="24"/>
        </w:rPr>
        <w:t>Assessment is mainly formative and draws on questioning, discussion, written booklet work, practical outcomes and pupil reflection. Progress becomes visible when pupils move from identifying ideas to explaining consequences and applying learning to unfamiliar scenarios.</w:t>
      </w:r>
    </w:p>
    <w:p w14:paraId="333DFDEA" w14:textId="77777777" w:rsidR="00DF340D" w:rsidRPr="009D3F72" w:rsidRDefault="00140B70">
      <w:pPr>
        <w:pStyle w:val="ListBullet"/>
        <w:spacing w:after="40"/>
        <w:rPr>
          <w:rFonts w:asciiTheme="majorHAnsi" w:hAnsiTheme="majorHAnsi" w:cstheme="majorHAnsi"/>
          <w:sz w:val="24"/>
          <w:szCs w:val="24"/>
        </w:rPr>
      </w:pPr>
      <w:r w:rsidRPr="009D3F72">
        <w:rPr>
          <w:rFonts w:asciiTheme="majorHAnsi" w:hAnsiTheme="majorHAnsi" w:cstheme="majorHAnsi"/>
          <w:sz w:val="24"/>
          <w:szCs w:val="24"/>
        </w:rPr>
        <w:t>Baseline and retrieval: PSHE expectations, prior understanding of bullying, rights and careers.</w:t>
      </w:r>
    </w:p>
    <w:p w14:paraId="6C42D5F1" w14:textId="77777777" w:rsidR="00DF340D" w:rsidRPr="009D3F72" w:rsidRDefault="00140B70">
      <w:pPr>
        <w:pStyle w:val="ListBullet"/>
        <w:spacing w:after="40"/>
        <w:rPr>
          <w:rFonts w:asciiTheme="majorHAnsi" w:hAnsiTheme="majorHAnsi" w:cstheme="majorHAnsi"/>
          <w:sz w:val="24"/>
          <w:szCs w:val="24"/>
        </w:rPr>
      </w:pPr>
      <w:r w:rsidRPr="009D3F72">
        <w:rPr>
          <w:rFonts w:asciiTheme="majorHAnsi" w:hAnsiTheme="majorHAnsi" w:cstheme="majorHAnsi"/>
          <w:sz w:val="24"/>
          <w:szCs w:val="24"/>
        </w:rPr>
        <w:t>Application: worry strategies, campaign design, rights marketplace choices and scenario discussion.</w:t>
      </w:r>
    </w:p>
    <w:p w14:paraId="5B1679E2" w14:textId="77777777" w:rsidR="00DF340D" w:rsidRPr="009D3F72" w:rsidRDefault="00140B70">
      <w:pPr>
        <w:pStyle w:val="ListBullet"/>
        <w:spacing w:after="40"/>
        <w:rPr>
          <w:rFonts w:asciiTheme="majorHAnsi" w:hAnsiTheme="majorHAnsi" w:cstheme="majorHAnsi"/>
          <w:sz w:val="24"/>
          <w:szCs w:val="24"/>
        </w:rPr>
      </w:pPr>
      <w:r w:rsidRPr="009D3F72">
        <w:rPr>
          <w:rFonts w:asciiTheme="majorHAnsi" w:hAnsiTheme="majorHAnsi" w:cstheme="majorHAnsi"/>
          <w:sz w:val="24"/>
          <w:szCs w:val="24"/>
        </w:rPr>
        <w:t>Pupil voice: the anonymised #BeeWell survey and discussion about issues affecting young people.</w:t>
      </w:r>
    </w:p>
    <w:p w14:paraId="084EAC58" w14:textId="77777777" w:rsidR="00DF340D" w:rsidRPr="009D3F72" w:rsidRDefault="00140B70">
      <w:pPr>
        <w:pStyle w:val="ListBullet"/>
        <w:spacing w:after="40"/>
        <w:rPr>
          <w:rFonts w:asciiTheme="majorHAnsi" w:hAnsiTheme="majorHAnsi" w:cstheme="majorHAnsi"/>
          <w:sz w:val="24"/>
          <w:szCs w:val="24"/>
        </w:rPr>
      </w:pPr>
      <w:r w:rsidRPr="009D3F72">
        <w:rPr>
          <w:rFonts w:asciiTheme="majorHAnsi" w:hAnsiTheme="majorHAnsi" w:cstheme="majorHAnsi"/>
          <w:sz w:val="24"/>
          <w:szCs w:val="24"/>
        </w:rPr>
        <w:t>End point: rights and responsibilities reflection plus the Living in the Wider World evaluation.</w:t>
      </w:r>
    </w:p>
    <w:p w14:paraId="4D366C42" w14:textId="77777777" w:rsidR="00DF340D" w:rsidRPr="009D3F72" w:rsidRDefault="00140B70">
      <w:pPr>
        <w:pStyle w:val="Heading1"/>
        <w:rPr>
          <w:rFonts w:cstheme="majorHAnsi"/>
          <w:sz w:val="24"/>
          <w:szCs w:val="24"/>
        </w:rPr>
      </w:pPr>
      <w:r w:rsidRPr="009D3F72">
        <w:rPr>
          <w:rFonts w:cstheme="majorHAnsi"/>
          <w:sz w:val="24"/>
          <w:szCs w:val="24"/>
        </w:rPr>
        <w:t>5. KEY VOCABULARY</w:t>
      </w:r>
    </w:p>
    <w:p w14:paraId="3BE3F3F9" w14:textId="77777777" w:rsidR="00DF340D" w:rsidRPr="009D3F72" w:rsidRDefault="00140B70">
      <w:pPr>
        <w:spacing w:after="40"/>
        <w:rPr>
          <w:rFonts w:asciiTheme="majorHAnsi" w:hAnsiTheme="majorHAnsi" w:cstheme="majorHAnsi"/>
          <w:sz w:val="24"/>
          <w:szCs w:val="24"/>
        </w:rPr>
      </w:pPr>
      <w:r w:rsidRPr="009D3F72">
        <w:rPr>
          <w:rFonts w:asciiTheme="majorHAnsi" w:hAnsiTheme="majorHAnsi" w:cstheme="majorHAnsi"/>
          <w:sz w:val="24"/>
          <w:szCs w:val="24"/>
        </w:rPr>
        <w:t>PSHE • transition • mental health • support network • strategy • bullying • cyberbullying • verbal • physical • indirect • identity • respect • citizenship • rights • responsibilities • human rights • UN Convention on the Rights of the Child • needs • wants • moral • political • civil • legal • social • careers • pathway • labour market information • digital literacy • critical thinking • transferable skills • artificial intelligence</w:t>
      </w:r>
    </w:p>
    <w:p w14:paraId="331362B0" w14:textId="77777777" w:rsidR="00DF340D" w:rsidRPr="009D3F72" w:rsidRDefault="00140B70">
      <w:pPr>
        <w:pStyle w:val="Heading1"/>
        <w:rPr>
          <w:rFonts w:cstheme="majorHAnsi"/>
          <w:sz w:val="24"/>
          <w:szCs w:val="24"/>
        </w:rPr>
      </w:pPr>
      <w:r w:rsidRPr="009D3F72">
        <w:rPr>
          <w:rFonts w:cstheme="majorHAnsi"/>
          <w:sz w:val="24"/>
          <w:szCs w:val="24"/>
        </w:rPr>
        <w:t>6. CHARACTER, SMSC AND WIDER CURRICULUM LINKS</w:t>
      </w:r>
    </w:p>
    <w:tbl>
      <w:tblPr>
        <w:tblStyle w:val="TableGrid"/>
        <w:tblW w:w="0" w:type="auto"/>
        <w:jc w:val="center"/>
        <w:tblLook w:val="04A0" w:firstRow="1" w:lastRow="0" w:firstColumn="1" w:lastColumn="0" w:noHBand="0" w:noVBand="1"/>
      </w:tblPr>
      <w:tblGrid>
        <w:gridCol w:w="5280"/>
        <w:gridCol w:w="5280"/>
      </w:tblGrid>
      <w:tr w:rsidR="00DF340D" w:rsidRPr="009D3F72" w14:paraId="7494BA8B" w14:textId="77777777">
        <w:trPr>
          <w:cantSplit/>
          <w:jc w:val="center"/>
        </w:trPr>
        <w:tc>
          <w:tcPr>
            <w:tcW w:w="5285" w:type="dxa"/>
            <w:shd w:val="clear" w:color="auto" w:fill="123B69"/>
            <w:tcMar>
              <w:top w:w="90" w:type="dxa"/>
              <w:left w:w="100" w:type="dxa"/>
              <w:bottom w:w="90" w:type="dxa"/>
              <w:right w:w="100" w:type="dxa"/>
            </w:tcMar>
            <w:vAlign w:val="center"/>
          </w:tcPr>
          <w:p w14:paraId="09BDBB81"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b/>
                <w:color w:val="FFFFFF"/>
                <w:sz w:val="24"/>
                <w:szCs w:val="24"/>
              </w:rPr>
              <w:t>Area</w:t>
            </w:r>
          </w:p>
        </w:tc>
        <w:tc>
          <w:tcPr>
            <w:tcW w:w="5285" w:type="dxa"/>
            <w:shd w:val="clear" w:color="auto" w:fill="123B69"/>
            <w:tcMar>
              <w:top w:w="90" w:type="dxa"/>
              <w:left w:w="100" w:type="dxa"/>
              <w:bottom w:w="90" w:type="dxa"/>
              <w:right w:w="100" w:type="dxa"/>
            </w:tcMar>
            <w:vAlign w:val="center"/>
          </w:tcPr>
          <w:p w14:paraId="4ECEF4DE"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b/>
                <w:color w:val="FFFFFF"/>
                <w:sz w:val="24"/>
                <w:szCs w:val="24"/>
              </w:rPr>
              <w:t>How the unit develops it</w:t>
            </w:r>
          </w:p>
        </w:tc>
      </w:tr>
      <w:tr w:rsidR="00DF340D" w:rsidRPr="009D3F72" w14:paraId="20747A8D" w14:textId="77777777">
        <w:trPr>
          <w:cantSplit/>
          <w:jc w:val="center"/>
        </w:trPr>
        <w:tc>
          <w:tcPr>
            <w:tcW w:w="5285" w:type="dxa"/>
            <w:tcMar>
              <w:top w:w="90" w:type="dxa"/>
              <w:left w:w="100" w:type="dxa"/>
              <w:bottom w:w="90" w:type="dxa"/>
              <w:right w:w="100" w:type="dxa"/>
            </w:tcMar>
            <w:vAlign w:val="center"/>
          </w:tcPr>
          <w:p w14:paraId="08C554CB"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b/>
                <w:color w:val="123B69"/>
                <w:sz w:val="24"/>
                <w:szCs w:val="24"/>
              </w:rPr>
              <w:t>Character virtues</w:t>
            </w:r>
          </w:p>
        </w:tc>
        <w:tc>
          <w:tcPr>
            <w:tcW w:w="5285" w:type="dxa"/>
            <w:tcMar>
              <w:top w:w="90" w:type="dxa"/>
              <w:left w:w="100" w:type="dxa"/>
              <w:bottom w:w="90" w:type="dxa"/>
              <w:right w:w="100" w:type="dxa"/>
            </w:tcMar>
            <w:vAlign w:val="center"/>
          </w:tcPr>
          <w:p w14:paraId="1552B19C"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Kindness and friendliness through anti-bullying action and respect for others; enthusiasm and ambition through transition goals and careers exploration; citizenship through rights and responsibilities.</w:t>
            </w:r>
          </w:p>
        </w:tc>
      </w:tr>
      <w:tr w:rsidR="00DF340D" w:rsidRPr="009D3F72" w14:paraId="1CB90615" w14:textId="77777777">
        <w:trPr>
          <w:cantSplit/>
          <w:jc w:val="center"/>
        </w:trPr>
        <w:tc>
          <w:tcPr>
            <w:tcW w:w="5285" w:type="dxa"/>
            <w:tcMar>
              <w:top w:w="90" w:type="dxa"/>
              <w:left w:w="100" w:type="dxa"/>
              <w:bottom w:w="90" w:type="dxa"/>
              <w:right w:w="100" w:type="dxa"/>
            </w:tcMar>
            <w:vAlign w:val="center"/>
          </w:tcPr>
          <w:p w14:paraId="2F8E34A3"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b/>
                <w:color w:val="123B69"/>
                <w:sz w:val="24"/>
                <w:szCs w:val="24"/>
              </w:rPr>
              <w:lastRenderedPageBreak/>
              <w:t>SMSC</w:t>
            </w:r>
          </w:p>
        </w:tc>
        <w:tc>
          <w:tcPr>
            <w:tcW w:w="5285" w:type="dxa"/>
            <w:tcMar>
              <w:top w:w="90" w:type="dxa"/>
              <w:left w:w="100" w:type="dxa"/>
              <w:bottom w:w="90" w:type="dxa"/>
              <w:right w:w="100" w:type="dxa"/>
            </w:tcMar>
            <w:vAlign w:val="center"/>
          </w:tcPr>
          <w:p w14:paraId="7D861AA4"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Reflection on feelings and identity; moral reasoning about fair treatment; social collaboration and respectful discussion; cultural understanding through universal rights and the Guatemala case study.</w:t>
            </w:r>
          </w:p>
        </w:tc>
      </w:tr>
      <w:tr w:rsidR="00DF340D" w:rsidRPr="009D3F72" w14:paraId="119E4336" w14:textId="77777777">
        <w:trPr>
          <w:cantSplit/>
          <w:jc w:val="center"/>
        </w:trPr>
        <w:tc>
          <w:tcPr>
            <w:tcW w:w="5285" w:type="dxa"/>
            <w:tcMar>
              <w:top w:w="90" w:type="dxa"/>
              <w:left w:w="100" w:type="dxa"/>
              <w:bottom w:w="90" w:type="dxa"/>
              <w:right w:w="100" w:type="dxa"/>
            </w:tcMar>
            <w:vAlign w:val="center"/>
          </w:tcPr>
          <w:p w14:paraId="012B1AE4"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b/>
                <w:color w:val="123B69"/>
                <w:sz w:val="24"/>
                <w:szCs w:val="24"/>
              </w:rPr>
              <w:t>Citizenship</w:t>
            </w:r>
          </w:p>
        </w:tc>
        <w:tc>
          <w:tcPr>
            <w:tcW w:w="5285" w:type="dxa"/>
            <w:tcMar>
              <w:top w:w="90" w:type="dxa"/>
              <w:left w:w="100" w:type="dxa"/>
              <w:bottom w:w="90" w:type="dxa"/>
              <w:right w:w="100" w:type="dxa"/>
            </w:tcMar>
            <w:vAlign w:val="center"/>
          </w:tcPr>
          <w:p w14:paraId="6DB34656"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Human rights, children’s rights, respect for difference, participation, responsibilities and life as a British citizen.</w:t>
            </w:r>
          </w:p>
        </w:tc>
      </w:tr>
      <w:tr w:rsidR="00DF340D" w:rsidRPr="009D3F72" w14:paraId="28DA7981" w14:textId="77777777">
        <w:trPr>
          <w:cantSplit/>
          <w:jc w:val="center"/>
        </w:trPr>
        <w:tc>
          <w:tcPr>
            <w:tcW w:w="5285" w:type="dxa"/>
            <w:tcMar>
              <w:top w:w="90" w:type="dxa"/>
              <w:left w:w="100" w:type="dxa"/>
              <w:bottom w:w="90" w:type="dxa"/>
              <w:right w:w="100" w:type="dxa"/>
            </w:tcMar>
            <w:vAlign w:val="center"/>
          </w:tcPr>
          <w:p w14:paraId="7F853845"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b/>
                <w:color w:val="123B69"/>
                <w:sz w:val="24"/>
                <w:szCs w:val="24"/>
              </w:rPr>
              <w:t>Careers education</w:t>
            </w:r>
          </w:p>
        </w:tc>
        <w:tc>
          <w:tcPr>
            <w:tcW w:w="5285" w:type="dxa"/>
            <w:tcMar>
              <w:top w:w="90" w:type="dxa"/>
              <w:left w:w="100" w:type="dxa"/>
              <w:bottom w:w="90" w:type="dxa"/>
              <w:right w:w="100" w:type="dxa"/>
            </w:tcMar>
            <w:vAlign w:val="center"/>
          </w:tcPr>
          <w:p w14:paraId="34CC9E1C"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Unifrog account creation, interests and skills profiling, pathways, labour market information, workplace change and preparation for future careers.</w:t>
            </w:r>
          </w:p>
        </w:tc>
      </w:tr>
      <w:tr w:rsidR="00DF340D" w:rsidRPr="009D3F72" w14:paraId="31CC21F0" w14:textId="77777777">
        <w:trPr>
          <w:cantSplit/>
          <w:jc w:val="center"/>
        </w:trPr>
        <w:tc>
          <w:tcPr>
            <w:tcW w:w="5285" w:type="dxa"/>
            <w:tcMar>
              <w:top w:w="90" w:type="dxa"/>
              <w:left w:w="100" w:type="dxa"/>
              <w:bottom w:w="90" w:type="dxa"/>
              <w:right w:w="100" w:type="dxa"/>
            </w:tcMar>
            <w:vAlign w:val="center"/>
          </w:tcPr>
          <w:p w14:paraId="607421D4"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b/>
                <w:color w:val="123B69"/>
                <w:sz w:val="24"/>
                <w:szCs w:val="24"/>
              </w:rPr>
              <w:t>Literacy and oracy</w:t>
            </w:r>
          </w:p>
        </w:tc>
        <w:tc>
          <w:tcPr>
            <w:tcW w:w="5285" w:type="dxa"/>
            <w:tcMar>
              <w:top w:w="90" w:type="dxa"/>
              <w:left w:w="100" w:type="dxa"/>
              <w:bottom w:w="90" w:type="dxa"/>
              <w:right w:w="100" w:type="dxa"/>
            </w:tcMar>
            <w:vAlign w:val="center"/>
          </w:tcPr>
          <w:p w14:paraId="6242A54B"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Reading case studies, defining key terms, persuasive campaign writing, explaining choices, group discussion and structured reflection.</w:t>
            </w:r>
          </w:p>
        </w:tc>
      </w:tr>
      <w:tr w:rsidR="00DF340D" w:rsidRPr="009D3F72" w14:paraId="5974AA22" w14:textId="77777777">
        <w:trPr>
          <w:cantSplit/>
          <w:jc w:val="center"/>
        </w:trPr>
        <w:tc>
          <w:tcPr>
            <w:tcW w:w="5285" w:type="dxa"/>
            <w:tcMar>
              <w:top w:w="90" w:type="dxa"/>
              <w:left w:w="100" w:type="dxa"/>
              <w:bottom w:w="90" w:type="dxa"/>
              <w:right w:w="100" w:type="dxa"/>
            </w:tcMar>
            <w:vAlign w:val="center"/>
          </w:tcPr>
          <w:p w14:paraId="7F3EB90B"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b/>
                <w:color w:val="123B69"/>
                <w:sz w:val="24"/>
                <w:szCs w:val="24"/>
              </w:rPr>
              <w:t>Digital literacy</w:t>
            </w:r>
          </w:p>
        </w:tc>
        <w:tc>
          <w:tcPr>
            <w:tcW w:w="5285" w:type="dxa"/>
            <w:tcMar>
              <w:top w:w="90" w:type="dxa"/>
              <w:left w:w="100" w:type="dxa"/>
              <w:bottom w:w="90" w:type="dxa"/>
              <w:right w:w="100" w:type="dxa"/>
            </w:tcMar>
            <w:vAlign w:val="center"/>
          </w:tcPr>
          <w:p w14:paraId="244DD86E" w14:textId="77777777" w:rsidR="00DF340D" w:rsidRPr="009D3F72" w:rsidRDefault="00140B70">
            <w:pPr>
              <w:spacing w:after="0"/>
              <w:rPr>
                <w:rFonts w:asciiTheme="majorHAnsi" w:hAnsiTheme="majorHAnsi" w:cstheme="majorHAnsi"/>
                <w:sz w:val="24"/>
                <w:szCs w:val="24"/>
              </w:rPr>
            </w:pPr>
            <w:r w:rsidRPr="009D3F72">
              <w:rPr>
                <w:rFonts w:asciiTheme="majorHAnsi" w:hAnsiTheme="majorHAnsi" w:cstheme="majorHAnsi"/>
                <w:sz w:val="24"/>
                <w:szCs w:val="24"/>
              </w:rPr>
              <w:t>Safe account access, online careers research, understanding AI and participation in the confidential #BeeWell survey.</w:t>
            </w:r>
          </w:p>
        </w:tc>
      </w:tr>
    </w:tbl>
    <w:p w14:paraId="6BAFC0B4" w14:textId="77777777" w:rsidR="00DF340D" w:rsidRPr="009D3F72" w:rsidRDefault="00140B70">
      <w:pPr>
        <w:pStyle w:val="Heading1"/>
        <w:rPr>
          <w:rFonts w:cstheme="majorHAnsi"/>
          <w:sz w:val="24"/>
          <w:szCs w:val="24"/>
        </w:rPr>
      </w:pPr>
      <w:r w:rsidRPr="009D3F72">
        <w:rPr>
          <w:rFonts w:cstheme="majorHAnsi"/>
          <w:sz w:val="24"/>
          <w:szCs w:val="24"/>
        </w:rPr>
        <w:t>7. SAFEGUARDING, INCLUSION AND DELIVERY NOTES</w:t>
      </w:r>
    </w:p>
    <w:p w14:paraId="508097E0" w14:textId="77777777" w:rsidR="00DF340D" w:rsidRPr="009D3F72" w:rsidRDefault="00140B70">
      <w:pPr>
        <w:pStyle w:val="ListBullet"/>
        <w:spacing w:after="40"/>
        <w:rPr>
          <w:rFonts w:asciiTheme="majorHAnsi" w:hAnsiTheme="majorHAnsi" w:cstheme="majorHAnsi"/>
          <w:sz w:val="24"/>
          <w:szCs w:val="24"/>
        </w:rPr>
      </w:pPr>
      <w:r w:rsidRPr="009D3F72">
        <w:rPr>
          <w:rFonts w:asciiTheme="majorHAnsi" w:hAnsiTheme="majorHAnsi" w:cstheme="majorHAnsi"/>
          <w:sz w:val="24"/>
          <w:szCs w:val="24"/>
        </w:rPr>
        <w:t>Revisit agreed ground rules before sensitive discussion. Pupils should not feel required to share personal experiences.</w:t>
      </w:r>
    </w:p>
    <w:p w14:paraId="704F4829" w14:textId="77777777" w:rsidR="00DF340D" w:rsidRPr="009D3F72" w:rsidRDefault="00140B70">
      <w:pPr>
        <w:pStyle w:val="ListBullet"/>
        <w:spacing w:after="40"/>
        <w:rPr>
          <w:rFonts w:asciiTheme="majorHAnsi" w:hAnsiTheme="majorHAnsi" w:cstheme="majorHAnsi"/>
          <w:sz w:val="24"/>
          <w:szCs w:val="24"/>
        </w:rPr>
      </w:pPr>
      <w:r w:rsidRPr="009D3F72">
        <w:rPr>
          <w:rFonts w:asciiTheme="majorHAnsi" w:hAnsiTheme="majorHAnsi" w:cstheme="majorHAnsi"/>
          <w:sz w:val="24"/>
          <w:szCs w:val="24"/>
        </w:rPr>
        <w:t>Make help-seeking routes explicit, including the tutor, trusted adults and relevant school pastoral or safeguarding staff.</w:t>
      </w:r>
    </w:p>
    <w:p w14:paraId="2C903A4B" w14:textId="77777777" w:rsidR="00DF340D" w:rsidRPr="009D3F72" w:rsidRDefault="00140B70">
      <w:pPr>
        <w:pStyle w:val="ListBullet"/>
        <w:spacing w:after="40"/>
        <w:rPr>
          <w:rFonts w:asciiTheme="majorHAnsi" w:hAnsiTheme="majorHAnsi" w:cstheme="majorHAnsi"/>
          <w:sz w:val="24"/>
          <w:szCs w:val="24"/>
        </w:rPr>
      </w:pPr>
      <w:r w:rsidRPr="009D3F72">
        <w:rPr>
          <w:rFonts w:asciiTheme="majorHAnsi" w:hAnsiTheme="majorHAnsi" w:cstheme="majorHAnsi"/>
          <w:sz w:val="24"/>
          <w:szCs w:val="24"/>
        </w:rPr>
        <w:t>Handle bullying disclosures in line with school safeguarding and anti-bullying procedures.</w:t>
      </w:r>
    </w:p>
    <w:p w14:paraId="34190A37" w14:textId="77777777" w:rsidR="00DF340D" w:rsidRPr="009D3F72" w:rsidRDefault="00140B70">
      <w:pPr>
        <w:pStyle w:val="ListBullet"/>
        <w:spacing w:after="40"/>
        <w:rPr>
          <w:rFonts w:asciiTheme="majorHAnsi" w:hAnsiTheme="majorHAnsi" w:cstheme="majorHAnsi"/>
          <w:sz w:val="24"/>
          <w:szCs w:val="24"/>
        </w:rPr>
      </w:pPr>
      <w:r w:rsidRPr="009D3F72">
        <w:rPr>
          <w:rFonts w:asciiTheme="majorHAnsi" w:hAnsiTheme="majorHAnsi" w:cstheme="majorHAnsi"/>
          <w:sz w:val="24"/>
          <w:szCs w:val="24"/>
        </w:rPr>
        <w:t>Explain the anonymity and purpose of #BeeWell before pupils complete the survey; support access without influencing responses.</w:t>
      </w:r>
    </w:p>
    <w:p w14:paraId="3FA9B7F2" w14:textId="77777777" w:rsidR="00DF340D" w:rsidRPr="009D3F72" w:rsidRDefault="00140B70">
      <w:pPr>
        <w:pStyle w:val="ListBullet"/>
        <w:spacing w:after="40"/>
        <w:rPr>
          <w:rFonts w:asciiTheme="majorHAnsi" w:hAnsiTheme="majorHAnsi" w:cstheme="majorHAnsi"/>
          <w:sz w:val="24"/>
          <w:szCs w:val="24"/>
        </w:rPr>
      </w:pPr>
      <w:r w:rsidRPr="009D3F72">
        <w:rPr>
          <w:rFonts w:asciiTheme="majorHAnsi" w:hAnsiTheme="majorHAnsi" w:cstheme="majorHAnsi"/>
          <w:sz w:val="24"/>
          <w:szCs w:val="24"/>
        </w:rPr>
        <w:t>Use the adapted human-rights marketplace materials where pupils need reduced language load, modelling or additional structure.</w:t>
      </w:r>
    </w:p>
    <w:p w14:paraId="6D02A231" w14:textId="77777777" w:rsidR="00DF340D" w:rsidRPr="009D3F72" w:rsidRDefault="00140B70">
      <w:pPr>
        <w:pStyle w:val="ListBullet"/>
        <w:spacing w:after="40"/>
        <w:rPr>
          <w:rFonts w:asciiTheme="majorHAnsi" w:hAnsiTheme="majorHAnsi" w:cstheme="majorHAnsi"/>
          <w:sz w:val="24"/>
          <w:szCs w:val="24"/>
        </w:rPr>
      </w:pPr>
      <w:r w:rsidRPr="009D3F72">
        <w:rPr>
          <w:rFonts w:asciiTheme="majorHAnsi" w:hAnsiTheme="majorHAnsi" w:cstheme="majorHAnsi"/>
          <w:sz w:val="24"/>
          <w:szCs w:val="24"/>
        </w:rPr>
        <w:t xml:space="preserve">Teach rights through an inclusive lens, avoiding assumptions about pupils’ identities, families, experiences or </w:t>
      </w:r>
      <w:proofErr w:type="gramStart"/>
      <w:r w:rsidRPr="009D3F72">
        <w:rPr>
          <w:rFonts w:asciiTheme="majorHAnsi" w:hAnsiTheme="majorHAnsi" w:cstheme="majorHAnsi"/>
          <w:sz w:val="24"/>
          <w:szCs w:val="24"/>
        </w:rPr>
        <w:t>future plans</w:t>
      </w:r>
      <w:proofErr w:type="gramEnd"/>
      <w:r w:rsidRPr="009D3F72">
        <w:rPr>
          <w:rFonts w:asciiTheme="majorHAnsi" w:hAnsiTheme="majorHAnsi" w:cstheme="majorHAnsi"/>
          <w:sz w:val="24"/>
          <w:szCs w:val="24"/>
        </w:rPr>
        <w:t>.</w:t>
      </w:r>
    </w:p>
    <w:p w14:paraId="1915257E" w14:textId="77777777" w:rsidR="00DF340D" w:rsidRPr="009D3F72" w:rsidRDefault="00140B70">
      <w:pPr>
        <w:pStyle w:val="ListBullet"/>
        <w:spacing w:after="40"/>
        <w:rPr>
          <w:rFonts w:asciiTheme="majorHAnsi" w:hAnsiTheme="majorHAnsi" w:cstheme="majorHAnsi"/>
          <w:sz w:val="24"/>
          <w:szCs w:val="24"/>
        </w:rPr>
      </w:pPr>
      <w:r w:rsidRPr="009D3F72">
        <w:rPr>
          <w:rFonts w:asciiTheme="majorHAnsi" w:hAnsiTheme="majorHAnsi" w:cstheme="majorHAnsi"/>
          <w:sz w:val="24"/>
          <w:szCs w:val="24"/>
        </w:rPr>
        <w:t>Use current school login instructions and local careers information where platform details or labour market data have changed.</w:t>
      </w:r>
    </w:p>
    <w:p w14:paraId="5B4C17A2" w14:textId="77777777" w:rsidR="00DF340D" w:rsidRPr="009D3F72" w:rsidRDefault="00140B70">
      <w:pPr>
        <w:pStyle w:val="Heading1"/>
        <w:rPr>
          <w:rFonts w:cstheme="majorHAnsi"/>
          <w:sz w:val="24"/>
          <w:szCs w:val="24"/>
        </w:rPr>
      </w:pPr>
      <w:r w:rsidRPr="009D3F72">
        <w:rPr>
          <w:rFonts w:cstheme="majorHAnsi"/>
          <w:sz w:val="24"/>
          <w:szCs w:val="24"/>
        </w:rPr>
        <w:t>8. LEARNING WALK LOOK-FORS</w:t>
      </w:r>
    </w:p>
    <w:p w14:paraId="113378EC" w14:textId="77777777" w:rsidR="00DF340D" w:rsidRPr="009D3F72" w:rsidRDefault="00140B70">
      <w:pPr>
        <w:pStyle w:val="ListBullet"/>
        <w:spacing w:after="40"/>
        <w:rPr>
          <w:rFonts w:asciiTheme="majorHAnsi" w:hAnsiTheme="majorHAnsi" w:cstheme="majorHAnsi"/>
          <w:sz w:val="24"/>
          <w:szCs w:val="24"/>
        </w:rPr>
      </w:pPr>
      <w:r w:rsidRPr="009D3F72">
        <w:rPr>
          <w:rFonts w:asciiTheme="majorHAnsi" w:hAnsiTheme="majorHAnsi" w:cstheme="majorHAnsi"/>
          <w:sz w:val="24"/>
          <w:szCs w:val="24"/>
        </w:rPr>
        <w:t>Pupils can explain the lesson’s place within Living in the Wider World.</w:t>
      </w:r>
    </w:p>
    <w:p w14:paraId="7EB2ABC1" w14:textId="77777777" w:rsidR="00DF340D" w:rsidRPr="009D3F72" w:rsidRDefault="00140B70">
      <w:pPr>
        <w:pStyle w:val="ListBullet"/>
        <w:spacing w:after="40"/>
        <w:rPr>
          <w:rFonts w:asciiTheme="majorHAnsi" w:hAnsiTheme="majorHAnsi" w:cstheme="majorHAnsi"/>
          <w:sz w:val="24"/>
          <w:szCs w:val="24"/>
        </w:rPr>
      </w:pPr>
      <w:r w:rsidRPr="009D3F72">
        <w:rPr>
          <w:rFonts w:asciiTheme="majorHAnsi" w:hAnsiTheme="majorHAnsi" w:cstheme="majorHAnsi"/>
          <w:sz w:val="24"/>
          <w:szCs w:val="24"/>
        </w:rPr>
        <w:t>Pupils use key vocabulary accurately and support answers with reasons or examples.</w:t>
      </w:r>
    </w:p>
    <w:p w14:paraId="277409E5" w14:textId="77777777" w:rsidR="00DF340D" w:rsidRPr="009D3F72" w:rsidRDefault="00140B70">
      <w:pPr>
        <w:pStyle w:val="ListBullet"/>
        <w:spacing w:after="40"/>
        <w:rPr>
          <w:rFonts w:asciiTheme="majorHAnsi" w:hAnsiTheme="majorHAnsi" w:cstheme="majorHAnsi"/>
          <w:sz w:val="24"/>
          <w:szCs w:val="24"/>
        </w:rPr>
      </w:pPr>
      <w:r w:rsidRPr="009D3F72">
        <w:rPr>
          <w:rFonts w:asciiTheme="majorHAnsi" w:hAnsiTheme="majorHAnsi" w:cstheme="majorHAnsi"/>
          <w:sz w:val="24"/>
          <w:szCs w:val="24"/>
        </w:rPr>
        <w:t>Discussion is respectful, inclusive and consistent with the agreed PSHE ground rules.</w:t>
      </w:r>
    </w:p>
    <w:p w14:paraId="29AC568E" w14:textId="77777777" w:rsidR="00DF340D" w:rsidRPr="009D3F72" w:rsidRDefault="00140B70">
      <w:pPr>
        <w:pStyle w:val="ListBullet"/>
        <w:spacing w:after="40"/>
        <w:rPr>
          <w:rFonts w:asciiTheme="majorHAnsi" w:hAnsiTheme="majorHAnsi" w:cstheme="majorHAnsi"/>
          <w:sz w:val="24"/>
          <w:szCs w:val="24"/>
        </w:rPr>
      </w:pPr>
      <w:r w:rsidRPr="009D3F72">
        <w:rPr>
          <w:rFonts w:asciiTheme="majorHAnsi" w:hAnsiTheme="majorHAnsi" w:cstheme="majorHAnsi"/>
          <w:sz w:val="24"/>
          <w:szCs w:val="24"/>
        </w:rPr>
        <w:t>Booklets or digital records show a clear sequence from knowledge to application and reflection.</w:t>
      </w:r>
    </w:p>
    <w:p w14:paraId="5381608C" w14:textId="77777777" w:rsidR="00DF340D" w:rsidRPr="009D3F72" w:rsidRDefault="00140B70">
      <w:pPr>
        <w:pStyle w:val="ListBullet"/>
        <w:spacing w:after="40"/>
        <w:rPr>
          <w:rFonts w:asciiTheme="majorHAnsi" w:hAnsiTheme="majorHAnsi" w:cstheme="majorHAnsi"/>
          <w:sz w:val="24"/>
          <w:szCs w:val="24"/>
        </w:rPr>
      </w:pPr>
      <w:r w:rsidRPr="009D3F72">
        <w:rPr>
          <w:rFonts w:asciiTheme="majorHAnsi" w:hAnsiTheme="majorHAnsi" w:cstheme="majorHAnsi"/>
          <w:sz w:val="24"/>
          <w:szCs w:val="24"/>
        </w:rPr>
        <w:t>Pupils know how to seek help and can identify a trusted adult.</w:t>
      </w:r>
    </w:p>
    <w:p w14:paraId="2561C855" w14:textId="77777777" w:rsidR="00DF340D" w:rsidRPr="009D3F72" w:rsidRDefault="00140B70">
      <w:pPr>
        <w:pStyle w:val="ListBullet"/>
        <w:spacing w:after="40"/>
        <w:rPr>
          <w:rFonts w:asciiTheme="majorHAnsi" w:hAnsiTheme="majorHAnsi" w:cstheme="majorHAnsi"/>
          <w:sz w:val="24"/>
          <w:szCs w:val="24"/>
        </w:rPr>
      </w:pPr>
      <w:r w:rsidRPr="009D3F72">
        <w:rPr>
          <w:rFonts w:asciiTheme="majorHAnsi" w:hAnsiTheme="majorHAnsi" w:cstheme="majorHAnsi"/>
          <w:sz w:val="24"/>
          <w:szCs w:val="24"/>
        </w:rPr>
        <w:t>Teaching makes explicit links to character virtues, citizenship and future readiness.</w:t>
      </w:r>
    </w:p>
    <w:sectPr w:rsidR="00DF340D" w:rsidRPr="009D3F72" w:rsidSect="00034616">
      <w:footerReference w:type="default" r:id="rId8"/>
      <w:pgSz w:w="12240" w:h="15840"/>
      <w:pgMar w:top="792" w:right="835" w:bottom="792" w:left="83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F61B84" w14:textId="77777777" w:rsidR="00140B70" w:rsidRDefault="00140B70">
      <w:pPr>
        <w:spacing w:after="0" w:line="240" w:lineRule="auto"/>
      </w:pPr>
      <w:r>
        <w:separator/>
      </w:r>
    </w:p>
  </w:endnote>
  <w:endnote w:type="continuationSeparator" w:id="0">
    <w:p w14:paraId="6024FACF" w14:textId="77777777" w:rsidR="00140B70" w:rsidRDefault="00140B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F77C8" w14:textId="77777777" w:rsidR="00DF340D" w:rsidRDefault="00140B70">
    <w:pPr>
      <w:pStyle w:val="Footer"/>
      <w:jc w:val="center"/>
    </w:pPr>
    <w:r>
      <w:rPr>
        <w:color w:val="123B69"/>
        <w:sz w:val="16"/>
      </w:rPr>
      <w:t>Year 7 PSHE | Autumn Term | Living in the Wider World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15FCF" w14:textId="77777777" w:rsidR="00140B70" w:rsidRDefault="00140B70">
      <w:pPr>
        <w:spacing w:after="0" w:line="240" w:lineRule="auto"/>
      </w:pPr>
      <w:r>
        <w:separator/>
      </w:r>
    </w:p>
  </w:footnote>
  <w:footnote w:type="continuationSeparator" w:id="0">
    <w:p w14:paraId="3CCB4CFE" w14:textId="77777777" w:rsidR="00140B70" w:rsidRDefault="00140B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97638379">
    <w:abstractNumId w:val="8"/>
  </w:num>
  <w:num w:numId="2" w16cid:durableId="1710301756">
    <w:abstractNumId w:val="6"/>
  </w:num>
  <w:num w:numId="3" w16cid:durableId="1129199413">
    <w:abstractNumId w:val="5"/>
  </w:num>
  <w:num w:numId="4" w16cid:durableId="1819495990">
    <w:abstractNumId w:val="4"/>
  </w:num>
  <w:num w:numId="5" w16cid:durableId="2023776814">
    <w:abstractNumId w:val="7"/>
  </w:num>
  <w:num w:numId="6" w16cid:durableId="2043019850">
    <w:abstractNumId w:val="3"/>
  </w:num>
  <w:num w:numId="7" w16cid:durableId="1923177986">
    <w:abstractNumId w:val="2"/>
  </w:num>
  <w:num w:numId="8" w16cid:durableId="2126070969">
    <w:abstractNumId w:val="1"/>
  </w:num>
  <w:num w:numId="9" w16cid:durableId="41486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40B70"/>
    <w:rsid w:val="0015074B"/>
    <w:rsid w:val="0029639D"/>
    <w:rsid w:val="00326F90"/>
    <w:rsid w:val="009C5E9D"/>
    <w:rsid w:val="009D3F72"/>
    <w:rsid w:val="00AA1D8D"/>
    <w:rsid w:val="00B47730"/>
    <w:rsid w:val="00CB0664"/>
    <w:rsid w:val="00DF340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D8A053"/>
  <w14:defaultImageDpi w14:val="300"/>
  <w15:docId w15:val="{F9B988F7-EFBD-4141-9941-9EF8BE707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pPr>
    <w:rPr>
      <w:rFonts w:ascii="Aptos" w:hAnsi="Aptos"/>
      <w:color w:val="1F2D3D"/>
      <w:sz w:val="18"/>
    </w:rPr>
  </w:style>
  <w:style w:type="paragraph" w:styleId="Heading1">
    <w:name w:val="heading 1"/>
    <w:basedOn w:val="Normal"/>
    <w:next w:val="Normal"/>
    <w:link w:val="Heading1Char"/>
    <w:uiPriority w:val="9"/>
    <w:qFormat/>
    <w:rsid w:val="00FC693F"/>
    <w:pPr>
      <w:keepNext/>
      <w:keepLines/>
      <w:spacing w:before="140"/>
      <w:outlineLvl w:val="0"/>
    </w:pPr>
    <w:rPr>
      <w:rFonts w:asciiTheme="majorHAnsi" w:eastAsiaTheme="majorEastAsia" w:hAnsiTheme="majorHAnsi" w:cstheme="majorBidi"/>
      <w:b/>
      <w:bCs/>
      <w:color w:val="123B69"/>
      <w:sz w:val="28"/>
      <w:szCs w:val="28"/>
    </w:rPr>
  </w:style>
  <w:style w:type="paragraph" w:styleId="Heading2">
    <w:name w:val="heading 2"/>
    <w:basedOn w:val="Normal"/>
    <w:next w:val="Normal"/>
    <w:link w:val="Heading2Char"/>
    <w:uiPriority w:val="9"/>
    <w:unhideWhenUsed/>
    <w:qFormat/>
    <w:rsid w:val="00FC693F"/>
    <w:pPr>
      <w:keepNext/>
      <w:keepLines/>
      <w:spacing w:before="140"/>
      <w:outlineLvl w:val="1"/>
    </w:pPr>
    <w:rPr>
      <w:rFonts w:asciiTheme="majorHAnsi" w:eastAsiaTheme="majorEastAsia" w:hAnsiTheme="majorHAnsi" w:cstheme="majorBidi"/>
      <w:b/>
      <w:bCs/>
      <w:color w:val="123B69"/>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140" w:line="240" w:lineRule="auto"/>
      <w:contextualSpacing/>
    </w:pPr>
    <w:rPr>
      <w:rFonts w:asciiTheme="majorHAnsi" w:eastAsiaTheme="majorEastAsia" w:hAnsiTheme="majorHAnsi" w:cstheme="majorBidi"/>
      <w:b/>
      <w:color w:val="123B69"/>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before="140"/>
    </w:pPr>
    <w:rPr>
      <w:rFonts w:asciiTheme="majorHAnsi" w:eastAsiaTheme="majorEastAsia" w:hAnsiTheme="majorHAnsi" w:cstheme="majorBidi"/>
      <w:b/>
      <w:i/>
      <w:iCs/>
      <w:color w:val="123B69"/>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1272</Words>
  <Characters>7256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8511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7 PSHE Curriculum Overview - Autumn Term: Living in the Wider World</dc:title>
  <dc:subject>Year 7 PSHE curriculum overview</dc:subject>
  <dc:creator>python-docx</dc:creator>
  <cp:keywords/>
  <dc:description>generated by python-docx</dc:description>
  <cp:lastModifiedBy>Becky Smith</cp:lastModifiedBy>
  <cp:revision>2</cp:revision>
  <dcterms:created xsi:type="dcterms:W3CDTF">2026-09-14T12:52:00Z</dcterms:created>
  <dcterms:modified xsi:type="dcterms:W3CDTF">2026-09-14T12:52:00Z</dcterms:modified>
  <cp:category/>
</cp:coreProperties>
</file>